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E826F">
      <w:pPr>
        <w:pStyle w:val="81"/>
        <w:tabs>
          <w:tab w:val="right" w:pos="9639"/>
        </w:tabs>
        <w:spacing w:after="0"/>
        <w:rPr>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rPr>
          <w:rFonts w:cs="Arial"/>
          <w:b/>
          <w:bCs/>
          <w:sz w:val="24"/>
          <w:szCs w:val="24"/>
        </w:rPr>
        <w:t>12</w:t>
      </w:r>
      <w:r>
        <w:rPr>
          <w:rFonts w:hint="eastAsia" w:cs="Arial"/>
          <w:b/>
          <w:bCs/>
          <w:sz w:val="24"/>
          <w:szCs w:val="24"/>
          <w:lang w:val="en-US" w:eastAsia="zh-CN"/>
        </w:rPr>
        <w:t>8</w:t>
      </w:r>
      <w:r>
        <w:rPr>
          <w:b/>
          <w:i/>
          <w:sz w:val="28"/>
        </w:rPr>
        <w:tab/>
      </w:r>
      <w:r>
        <w:rPr>
          <w:rFonts w:hint="eastAsia"/>
          <w:b/>
          <w:sz w:val="28"/>
        </w:rPr>
        <w:t>R3-254019</w:t>
      </w:r>
    </w:p>
    <w:p w14:paraId="055EC6BA">
      <w:pPr>
        <w:pStyle w:val="81"/>
        <w:outlineLvl w:val="0"/>
        <w:rPr>
          <w:b/>
          <w:sz w:val="24"/>
          <w:lang w:val="en-US" w:eastAsia="zh-CN"/>
        </w:rPr>
      </w:pPr>
      <w:r>
        <w:rPr>
          <w:rFonts w:hint="eastAsia" w:cs="Arial"/>
          <w:b/>
          <w:bCs/>
          <w:sz w:val="24"/>
          <w:szCs w:val="24"/>
          <w:lang w:val="en-US" w:eastAsia="zh-CN"/>
        </w:rPr>
        <w:t>Malta</w:t>
      </w:r>
      <w:r>
        <w:rPr>
          <w:rFonts w:cs="Arial"/>
          <w:b/>
          <w:bCs/>
          <w:sz w:val="24"/>
          <w:szCs w:val="24"/>
        </w:rPr>
        <w:t xml:space="preserve">, </w:t>
      </w:r>
      <w:r>
        <w:rPr>
          <w:rFonts w:hint="eastAsia" w:cs="Arial"/>
          <w:b/>
          <w:bCs/>
          <w:sz w:val="24"/>
          <w:szCs w:val="24"/>
          <w:lang w:val="en-US" w:eastAsia="zh-CN"/>
        </w:rPr>
        <w:t>MT</w:t>
      </w:r>
      <w:r>
        <w:rPr>
          <w:rFonts w:cs="Arial"/>
          <w:b/>
          <w:bCs/>
          <w:sz w:val="24"/>
          <w:szCs w:val="24"/>
        </w:rPr>
        <w:t xml:space="preserve">, </w:t>
      </w:r>
      <w:r>
        <w:rPr>
          <w:rFonts w:hint="eastAsia" w:cs="Arial"/>
          <w:b/>
          <w:bCs/>
          <w:sz w:val="24"/>
          <w:szCs w:val="24"/>
          <w:lang w:val="en-US" w:eastAsia="zh-CN"/>
        </w:rPr>
        <w:t>19</w:t>
      </w:r>
      <w:r>
        <w:rPr>
          <w:rFonts w:cs="Arial"/>
          <w:b/>
          <w:bCs/>
          <w:sz w:val="24"/>
          <w:szCs w:val="24"/>
        </w:rPr>
        <w:t xml:space="preserve"> - </w:t>
      </w:r>
      <w:r>
        <w:rPr>
          <w:rFonts w:hint="eastAsia" w:cs="Arial"/>
          <w:b/>
          <w:bCs/>
          <w:sz w:val="24"/>
          <w:szCs w:val="24"/>
          <w:lang w:val="en-US" w:eastAsia="zh-CN"/>
        </w:rPr>
        <w:t>23</w:t>
      </w:r>
      <w:r>
        <w:rPr>
          <w:rFonts w:cs="Arial"/>
          <w:b/>
          <w:bCs/>
          <w:sz w:val="24"/>
          <w:szCs w:val="24"/>
        </w:rPr>
        <w:t xml:space="preserve"> </w:t>
      </w:r>
      <w:r>
        <w:rPr>
          <w:rFonts w:hint="eastAsia" w:cs="Arial"/>
          <w:b/>
          <w:bCs/>
          <w:sz w:val="24"/>
          <w:szCs w:val="24"/>
          <w:lang w:val="en-US" w:eastAsia="zh-CN"/>
        </w:rPr>
        <w:t>May</w:t>
      </w:r>
      <w:r>
        <w:rPr>
          <w:rFonts w:cs="Arial"/>
          <w:b/>
          <w:bCs/>
          <w:sz w:val="24"/>
          <w:szCs w:val="24"/>
        </w:rPr>
        <w:t>, 202</w:t>
      </w:r>
      <w:r>
        <w:rPr>
          <w:rFonts w:hint="eastAsia" w:cs="Arial"/>
          <w:b/>
          <w:bCs/>
          <w:sz w:val="24"/>
          <w:szCs w:val="24"/>
          <w:lang w:val="en-US" w:eastAsia="zh-CN"/>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7CDFFA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FFA7E5A">
            <w:pPr>
              <w:pStyle w:val="81"/>
              <w:spacing w:after="0"/>
              <w:jc w:val="right"/>
              <w:rPr>
                <w:i/>
              </w:rPr>
            </w:pPr>
            <w:r>
              <w:rPr>
                <w:i/>
                <w:sz w:val="14"/>
              </w:rPr>
              <w:t>CR-Form-v12.3</w:t>
            </w:r>
          </w:p>
        </w:tc>
      </w:tr>
      <w:tr w14:paraId="210BD9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4D6D73B">
            <w:pPr>
              <w:pStyle w:val="81"/>
              <w:spacing w:after="0"/>
              <w:jc w:val="center"/>
            </w:pPr>
            <w:r>
              <w:rPr>
                <w:b/>
                <w:sz w:val="32"/>
              </w:rPr>
              <w:t>CHANGE REQUEST</w:t>
            </w:r>
          </w:p>
        </w:tc>
      </w:tr>
      <w:tr w14:paraId="02D0D4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A53436">
            <w:pPr>
              <w:pStyle w:val="81"/>
              <w:spacing w:after="0"/>
              <w:rPr>
                <w:sz w:val="8"/>
                <w:szCs w:val="8"/>
              </w:rPr>
            </w:pPr>
          </w:p>
        </w:tc>
      </w:tr>
      <w:tr w14:paraId="16F70D36">
        <w:tblPrEx>
          <w:tblCellMar>
            <w:top w:w="0" w:type="dxa"/>
            <w:left w:w="42" w:type="dxa"/>
            <w:bottom w:w="0" w:type="dxa"/>
            <w:right w:w="42" w:type="dxa"/>
          </w:tblCellMar>
        </w:tblPrEx>
        <w:tc>
          <w:tcPr>
            <w:tcW w:w="142" w:type="dxa"/>
            <w:tcBorders>
              <w:left w:val="single" w:color="auto" w:sz="4" w:space="0"/>
            </w:tcBorders>
          </w:tcPr>
          <w:p w14:paraId="20745CDC">
            <w:pPr>
              <w:pStyle w:val="81"/>
              <w:spacing w:after="0"/>
              <w:jc w:val="right"/>
            </w:pPr>
          </w:p>
        </w:tc>
        <w:tc>
          <w:tcPr>
            <w:tcW w:w="1559" w:type="dxa"/>
            <w:shd w:val="pct30" w:color="FFFF00" w:fill="auto"/>
          </w:tcPr>
          <w:p w14:paraId="2B1B262A">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14:paraId="4B93D340">
            <w:pPr>
              <w:pStyle w:val="81"/>
              <w:spacing w:after="0"/>
              <w:jc w:val="center"/>
            </w:pPr>
            <w:r>
              <w:rPr>
                <w:b/>
                <w:sz w:val="28"/>
              </w:rPr>
              <w:t>CR</w:t>
            </w:r>
          </w:p>
        </w:tc>
        <w:tc>
          <w:tcPr>
            <w:tcW w:w="1276" w:type="dxa"/>
            <w:shd w:val="pct30" w:color="FFFF00" w:fill="auto"/>
          </w:tcPr>
          <w:p w14:paraId="011C2EB9">
            <w:pPr>
              <w:pStyle w:val="81"/>
              <w:spacing w:after="0"/>
              <w:jc w:val="center"/>
              <w:rPr>
                <w:lang w:val="en-US" w:eastAsia="zh-CN"/>
              </w:rPr>
            </w:pPr>
            <w:r>
              <w:rPr>
                <w:b/>
                <w:sz w:val="28"/>
                <w:lang w:val="en-US" w:eastAsia="zh-CN"/>
              </w:rPr>
              <w:t>Draft</w:t>
            </w:r>
          </w:p>
        </w:tc>
        <w:tc>
          <w:tcPr>
            <w:tcW w:w="709" w:type="dxa"/>
          </w:tcPr>
          <w:p w14:paraId="313914F9">
            <w:pPr>
              <w:pStyle w:val="81"/>
              <w:tabs>
                <w:tab w:val="right" w:pos="625"/>
              </w:tabs>
              <w:spacing w:after="0"/>
              <w:jc w:val="center"/>
            </w:pPr>
            <w:r>
              <w:rPr>
                <w:b/>
                <w:bCs/>
                <w:sz w:val="28"/>
              </w:rPr>
              <w:t>rev</w:t>
            </w:r>
          </w:p>
        </w:tc>
        <w:tc>
          <w:tcPr>
            <w:tcW w:w="992" w:type="dxa"/>
            <w:shd w:val="pct30" w:color="FFFF00" w:fill="auto"/>
          </w:tcPr>
          <w:p w14:paraId="75E65CE9">
            <w:pPr>
              <w:pStyle w:val="81"/>
              <w:spacing w:after="0"/>
              <w:jc w:val="center"/>
              <w:rPr>
                <w:b/>
                <w:lang w:val="en-US" w:eastAsia="zh-CN"/>
              </w:rPr>
            </w:pPr>
            <w:r>
              <w:rPr>
                <w:rFonts w:hint="eastAsia"/>
                <w:b/>
                <w:sz w:val="28"/>
                <w:lang w:val="en-US" w:eastAsia="zh-CN"/>
              </w:rPr>
              <w:t>-</w:t>
            </w:r>
          </w:p>
        </w:tc>
        <w:tc>
          <w:tcPr>
            <w:tcW w:w="2410" w:type="dxa"/>
          </w:tcPr>
          <w:p w14:paraId="218754CA">
            <w:pPr>
              <w:pStyle w:val="81"/>
              <w:tabs>
                <w:tab w:val="right" w:pos="1825"/>
              </w:tabs>
              <w:spacing w:after="0"/>
              <w:jc w:val="center"/>
            </w:pPr>
            <w:r>
              <w:rPr>
                <w:b/>
                <w:sz w:val="28"/>
                <w:szCs w:val="28"/>
              </w:rPr>
              <w:t>Current version:</w:t>
            </w:r>
          </w:p>
        </w:tc>
        <w:tc>
          <w:tcPr>
            <w:tcW w:w="1701" w:type="dxa"/>
            <w:shd w:val="pct30" w:color="FFFF00" w:fill="auto"/>
          </w:tcPr>
          <w:p w14:paraId="5FCC8819">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18.5.0</w:t>
            </w:r>
            <w:r>
              <w:rPr>
                <w:rFonts w:hint="eastAsia"/>
                <w:b/>
                <w:sz w:val="28"/>
                <w:lang w:val="en-US" w:eastAsia="zh-CN"/>
              </w:rPr>
              <w:fldChar w:fldCharType="end"/>
            </w:r>
          </w:p>
        </w:tc>
        <w:tc>
          <w:tcPr>
            <w:tcW w:w="143" w:type="dxa"/>
            <w:tcBorders>
              <w:right w:val="single" w:color="auto" w:sz="4" w:space="0"/>
            </w:tcBorders>
          </w:tcPr>
          <w:p w14:paraId="448E0232">
            <w:pPr>
              <w:pStyle w:val="81"/>
              <w:spacing w:after="0"/>
            </w:pPr>
          </w:p>
        </w:tc>
      </w:tr>
      <w:tr w14:paraId="2840F3A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EC28A50">
            <w:pPr>
              <w:pStyle w:val="81"/>
              <w:spacing w:after="0"/>
            </w:pPr>
          </w:p>
        </w:tc>
      </w:tr>
      <w:tr w14:paraId="78B290E5">
        <w:tblPrEx>
          <w:tblCellMar>
            <w:top w:w="0" w:type="dxa"/>
            <w:left w:w="42" w:type="dxa"/>
            <w:bottom w:w="0" w:type="dxa"/>
            <w:right w:w="42" w:type="dxa"/>
          </w:tblCellMar>
        </w:tblPrEx>
        <w:tc>
          <w:tcPr>
            <w:tcW w:w="9641" w:type="dxa"/>
            <w:gridSpan w:val="9"/>
            <w:tcBorders>
              <w:top w:val="single" w:color="auto" w:sz="4" w:space="0"/>
            </w:tcBorders>
          </w:tcPr>
          <w:p w14:paraId="5ED050A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9E9909D">
        <w:tblPrEx>
          <w:tblCellMar>
            <w:top w:w="0" w:type="dxa"/>
            <w:left w:w="42" w:type="dxa"/>
            <w:bottom w:w="0" w:type="dxa"/>
            <w:right w:w="42" w:type="dxa"/>
          </w:tblCellMar>
        </w:tblPrEx>
        <w:tc>
          <w:tcPr>
            <w:tcW w:w="9641" w:type="dxa"/>
            <w:gridSpan w:val="9"/>
          </w:tcPr>
          <w:p w14:paraId="756DA1EA">
            <w:pPr>
              <w:pStyle w:val="81"/>
              <w:spacing w:after="0"/>
              <w:rPr>
                <w:sz w:val="8"/>
                <w:szCs w:val="8"/>
              </w:rPr>
            </w:pPr>
          </w:p>
        </w:tc>
      </w:tr>
    </w:tbl>
    <w:p w14:paraId="605D7B39">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7042243">
        <w:tblPrEx>
          <w:tblCellMar>
            <w:top w:w="0" w:type="dxa"/>
            <w:left w:w="42" w:type="dxa"/>
            <w:bottom w:w="0" w:type="dxa"/>
            <w:right w:w="42" w:type="dxa"/>
          </w:tblCellMar>
        </w:tblPrEx>
        <w:tc>
          <w:tcPr>
            <w:tcW w:w="2835" w:type="dxa"/>
          </w:tcPr>
          <w:p w14:paraId="7D4D2FA4">
            <w:pPr>
              <w:pStyle w:val="81"/>
              <w:tabs>
                <w:tab w:val="right" w:pos="2751"/>
              </w:tabs>
              <w:spacing w:after="0"/>
              <w:rPr>
                <w:b/>
                <w:i/>
              </w:rPr>
            </w:pPr>
            <w:r>
              <w:rPr>
                <w:b/>
                <w:i/>
              </w:rPr>
              <w:t>Proposed change affects:</w:t>
            </w:r>
          </w:p>
        </w:tc>
        <w:tc>
          <w:tcPr>
            <w:tcW w:w="1418" w:type="dxa"/>
          </w:tcPr>
          <w:p w14:paraId="1529A309">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9605EDE">
            <w:pPr>
              <w:pStyle w:val="81"/>
              <w:spacing w:after="0"/>
              <w:jc w:val="center"/>
              <w:rPr>
                <w:b/>
                <w:caps/>
              </w:rPr>
            </w:pPr>
          </w:p>
        </w:tc>
        <w:tc>
          <w:tcPr>
            <w:tcW w:w="709" w:type="dxa"/>
            <w:tcBorders>
              <w:left w:val="single" w:color="auto" w:sz="4" w:space="0"/>
            </w:tcBorders>
          </w:tcPr>
          <w:p w14:paraId="0124593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A807D42">
            <w:pPr>
              <w:pStyle w:val="81"/>
              <w:spacing w:after="0"/>
              <w:jc w:val="center"/>
              <w:rPr>
                <w:b/>
                <w:caps/>
              </w:rPr>
            </w:pPr>
          </w:p>
        </w:tc>
        <w:tc>
          <w:tcPr>
            <w:tcW w:w="2126" w:type="dxa"/>
          </w:tcPr>
          <w:p w14:paraId="5E522FB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1FE0DAD">
            <w:pPr>
              <w:pStyle w:val="81"/>
              <w:spacing w:after="0"/>
              <w:jc w:val="center"/>
              <w:rPr>
                <w:b/>
                <w:caps/>
              </w:rPr>
            </w:pPr>
            <w:r>
              <w:rPr>
                <w:b/>
                <w:caps/>
              </w:rPr>
              <w:t>X</w:t>
            </w:r>
          </w:p>
        </w:tc>
        <w:tc>
          <w:tcPr>
            <w:tcW w:w="1418" w:type="dxa"/>
            <w:tcBorders>
              <w:left w:val="nil"/>
            </w:tcBorders>
          </w:tcPr>
          <w:p w14:paraId="5A5F592C">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6ECD716">
            <w:pPr>
              <w:pStyle w:val="81"/>
              <w:spacing w:after="0"/>
              <w:jc w:val="center"/>
              <w:rPr>
                <w:b/>
                <w:bCs/>
                <w:caps/>
              </w:rPr>
            </w:pPr>
          </w:p>
        </w:tc>
      </w:tr>
    </w:tbl>
    <w:p w14:paraId="14A331D2">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D81508">
        <w:tblPrEx>
          <w:tblCellMar>
            <w:top w:w="0" w:type="dxa"/>
            <w:left w:w="42" w:type="dxa"/>
            <w:bottom w:w="0" w:type="dxa"/>
            <w:right w:w="42" w:type="dxa"/>
          </w:tblCellMar>
        </w:tblPrEx>
        <w:tc>
          <w:tcPr>
            <w:tcW w:w="9640" w:type="dxa"/>
            <w:gridSpan w:val="11"/>
          </w:tcPr>
          <w:p w14:paraId="53BAF1B8">
            <w:pPr>
              <w:pStyle w:val="81"/>
              <w:spacing w:after="0"/>
              <w:rPr>
                <w:sz w:val="8"/>
                <w:szCs w:val="8"/>
              </w:rPr>
            </w:pPr>
          </w:p>
        </w:tc>
      </w:tr>
      <w:tr w14:paraId="21812E08">
        <w:tblPrEx>
          <w:tblCellMar>
            <w:top w:w="0" w:type="dxa"/>
            <w:left w:w="42" w:type="dxa"/>
            <w:bottom w:w="0" w:type="dxa"/>
            <w:right w:w="42" w:type="dxa"/>
          </w:tblCellMar>
        </w:tblPrEx>
        <w:tc>
          <w:tcPr>
            <w:tcW w:w="1843" w:type="dxa"/>
            <w:tcBorders>
              <w:top w:val="single" w:color="auto" w:sz="4" w:space="0"/>
              <w:left w:val="single" w:color="auto" w:sz="4" w:space="0"/>
            </w:tcBorders>
          </w:tcPr>
          <w:p w14:paraId="0DABB10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EB3C45F">
            <w:pPr>
              <w:pStyle w:val="81"/>
              <w:spacing w:after="0"/>
              <w:ind w:left="100"/>
              <w:rPr>
                <w:lang w:val="en-US" w:eastAsia="zh-CN"/>
              </w:rPr>
            </w:pPr>
            <w:r>
              <w:rPr>
                <w:rFonts w:hint="eastAsia"/>
                <w:lang w:val="en-US" w:eastAsia="zh-CN"/>
              </w:rPr>
              <w:t>(BL CR to 37.340) Support of XR enhancements</w:t>
            </w:r>
          </w:p>
        </w:tc>
      </w:tr>
      <w:tr w14:paraId="214992CA">
        <w:tblPrEx>
          <w:tblCellMar>
            <w:top w:w="0" w:type="dxa"/>
            <w:left w:w="42" w:type="dxa"/>
            <w:bottom w:w="0" w:type="dxa"/>
            <w:right w:w="42" w:type="dxa"/>
          </w:tblCellMar>
        </w:tblPrEx>
        <w:tc>
          <w:tcPr>
            <w:tcW w:w="1843" w:type="dxa"/>
            <w:tcBorders>
              <w:left w:val="single" w:color="auto" w:sz="4" w:space="0"/>
            </w:tcBorders>
          </w:tcPr>
          <w:p w14:paraId="73CFA140">
            <w:pPr>
              <w:pStyle w:val="81"/>
              <w:spacing w:after="0"/>
              <w:rPr>
                <w:b/>
                <w:i/>
                <w:sz w:val="8"/>
                <w:szCs w:val="8"/>
              </w:rPr>
            </w:pPr>
          </w:p>
        </w:tc>
        <w:tc>
          <w:tcPr>
            <w:tcW w:w="7797" w:type="dxa"/>
            <w:gridSpan w:val="10"/>
            <w:tcBorders>
              <w:right w:val="single" w:color="auto" w:sz="4" w:space="0"/>
            </w:tcBorders>
          </w:tcPr>
          <w:p w14:paraId="7F6A04DD">
            <w:pPr>
              <w:pStyle w:val="81"/>
              <w:spacing w:after="0"/>
              <w:rPr>
                <w:sz w:val="8"/>
                <w:szCs w:val="8"/>
              </w:rPr>
            </w:pPr>
          </w:p>
        </w:tc>
      </w:tr>
      <w:tr w14:paraId="0B8D6ABF">
        <w:tblPrEx>
          <w:tblCellMar>
            <w:top w:w="0" w:type="dxa"/>
            <w:left w:w="42" w:type="dxa"/>
            <w:bottom w:w="0" w:type="dxa"/>
            <w:right w:w="42" w:type="dxa"/>
          </w:tblCellMar>
        </w:tblPrEx>
        <w:tc>
          <w:tcPr>
            <w:tcW w:w="1843" w:type="dxa"/>
            <w:tcBorders>
              <w:left w:val="single" w:color="auto" w:sz="4" w:space="0"/>
            </w:tcBorders>
          </w:tcPr>
          <w:p w14:paraId="1E9116A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F1E6174">
            <w:pPr>
              <w:pStyle w:val="81"/>
              <w:spacing w:after="0"/>
              <w:ind w:left="100"/>
              <w:rPr>
                <w:lang w:val="en-US" w:eastAsia="zh-CN"/>
              </w:rPr>
            </w:pPr>
            <w:r>
              <w:rPr>
                <w:rFonts w:hint="eastAsia"/>
              </w:rPr>
              <w:t>ZTE</w:t>
            </w:r>
            <w:r>
              <w:rPr>
                <w:rFonts w:hint="eastAsia"/>
                <w:lang w:val="en-US" w:eastAsia="zh-CN"/>
              </w:rPr>
              <w:t xml:space="preserve"> Corporation</w:t>
            </w:r>
            <w:r>
              <w:rPr>
                <w:rFonts w:hint="eastAsia"/>
              </w:rPr>
              <w:t>, Nokia, Nokia Sha</w:t>
            </w:r>
            <w:bookmarkStart w:id="3" w:name="_GoBack"/>
            <w:bookmarkEnd w:id="3"/>
            <w:r>
              <w:rPr>
                <w:rFonts w:hint="eastAsia"/>
              </w:rPr>
              <w:t>nghai Bell</w:t>
            </w:r>
            <w:r>
              <w:rPr>
                <w:rFonts w:hint="eastAsia"/>
                <w:lang w:val="en-US" w:eastAsia="zh-CN"/>
              </w:rPr>
              <w:t>, Qualcomm Inc, Lenovo, Huawei, Ericsson, CATT, CMCC, Samsung, Xiaomi, NEC, China Telecom</w:t>
            </w:r>
            <w:r>
              <w:rPr>
                <w:lang w:val="en-US" w:eastAsia="zh-CN"/>
              </w:rPr>
              <w:t>, Ofinno</w:t>
            </w:r>
          </w:p>
        </w:tc>
      </w:tr>
      <w:tr w14:paraId="1EB229FB">
        <w:tblPrEx>
          <w:tblCellMar>
            <w:top w:w="0" w:type="dxa"/>
            <w:left w:w="42" w:type="dxa"/>
            <w:bottom w:w="0" w:type="dxa"/>
            <w:right w:w="42" w:type="dxa"/>
          </w:tblCellMar>
        </w:tblPrEx>
        <w:tc>
          <w:tcPr>
            <w:tcW w:w="1843" w:type="dxa"/>
            <w:tcBorders>
              <w:left w:val="single" w:color="auto" w:sz="4" w:space="0"/>
            </w:tcBorders>
          </w:tcPr>
          <w:p w14:paraId="4B44DF6D">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C3C41B9">
            <w:pPr>
              <w:pStyle w:val="81"/>
              <w:spacing w:after="0"/>
              <w:ind w:left="100"/>
              <w:rPr>
                <w:lang w:val="en-US" w:eastAsia="zh-CN"/>
              </w:rPr>
            </w:pPr>
            <w:r>
              <w:rPr>
                <w:rFonts w:hint="eastAsia"/>
                <w:lang w:val="en-US" w:eastAsia="zh-CN"/>
              </w:rPr>
              <w:t>R3</w:t>
            </w:r>
          </w:p>
        </w:tc>
      </w:tr>
      <w:tr w14:paraId="43F02B69">
        <w:tblPrEx>
          <w:tblCellMar>
            <w:top w:w="0" w:type="dxa"/>
            <w:left w:w="42" w:type="dxa"/>
            <w:bottom w:w="0" w:type="dxa"/>
            <w:right w:w="42" w:type="dxa"/>
          </w:tblCellMar>
        </w:tblPrEx>
        <w:tc>
          <w:tcPr>
            <w:tcW w:w="1843" w:type="dxa"/>
            <w:tcBorders>
              <w:left w:val="single" w:color="auto" w:sz="4" w:space="0"/>
            </w:tcBorders>
          </w:tcPr>
          <w:p w14:paraId="34013882">
            <w:pPr>
              <w:pStyle w:val="81"/>
              <w:spacing w:after="0"/>
              <w:rPr>
                <w:b/>
                <w:i/>
                <w:sz w:val="8"/>
                <w:szCs w:val="8"/>
              </w:rPr>
            </w:pPr>
          </w:p>
        </w:tc>
        <w:tc>
          <w:tcPr>
            <w:tcW w:w="7797" w:type="dxa"/>
            <w:gridSpan w:val="10"/>
            <w:tcBorders>
              <w:right w:val="single" w:color="auto" w:sz="4" w:space="0"/>
            </w:tcBorders>
          </w:tcPr>
          <w:p w14:paraId="2DE1A127">
            <w:pPr>
              <w:pStyle w:val="81"/>
              <w:spacing w:after="0"/>
              <w:rPr>
                <w:sz w:val="8"/>
                <w:szCs w:val="8"/>
              </w:rPr>
            </w:pPr>
          </w:p>
        </w:tc>
      </w:tr>
      <w:tr w14:paraId="5631F21F">
        <w:tblPrEx>
          <w:tblCellMar>
            <w:top w:w="0" w:type="dxa"/>
            <w:left w:w="42" w:type="dxa"/>
            <w:bottom w:w="0" w:type="dxa"/>
            <w:right w:w="42" w:type="dxa"/>
          </w:tblCellMar>
        </w:tblPrEx>
        <w:tc>
          <w:tcPr>
            <w:tcW w:w="1843" w:type="dxa"/>
            <w:tcBorders>
              <w:left w:val="single" w:color="auto" w:sz="4" w:space="0"/>
            </w:tcBorders>
          </w:tcPr>
          <w:p w14:paraId="6FBE379A">
            <w:pPr>
              <w:pStyle w:val="81"/>
              <w:tabs>
                <w:tab w:val="right" w:pos="1759"/>
              </w:tabs>
              <w:spacing w:after="0"/>
              <w:rPr>
                <w:b/>
                <w:i/>
              </w:rPr>
            </w:pPr>
            <w:r>
              <w:rPr>
                <w:b/>
                <w:i/>
              </w:rPr>
              <w:t>Work item code:</w:t>
            </w:r>
          </w:p>
        </w:tc>
        <w:tc>
          <w:tcPr>
            <w:tcW w:w="3686" w:type="dxa"/>
            <w:gridSpan w:val="5"/>
            <w:shd w:val="pct30" w:color="FFFF00" w:fill="auto"/>
          </w:tcPr>
          <w:p w14:paraId="6F6814B1">
            <w:pPr>
              <w:pStyle w:val="81"/>
              <w:spacing w:after="0"/>
              <w:ind w:left="100"/>
            </w:pPr>
            <w:r>
              <w:rPr>
                <w:rFonts w:hint="eastAsia"/>
                <w:color w:val="000000"/>
                <w:lang w:val="en-US" w:eastAsia="zh-CN"/>
              </w:rPr>
              <w:t>NR_XR_Ph3-Core</w:t>
            </w:r>
          </w:p>
        </w:tc>
        <w:tc>
          <w:tcPr>
            <w:tcW w:w="567" w:type="dxa"/>
            <w:tcBorders>
              <w:left w:val="nil"/>
            </w:tcBorders>
          </w:tcPr>
          <w:p w14:paraId="06EEACFC">
            <w:pPr>
              <w:pStyle w:val="81"/>
              <w:spacing w:after="0"/>
              <w:ind w:right="100"/>
            </w:pPr>
          </w:p>
        </w:tc>
        <w:tc>
          <w:tcPr>
            <w:tcW w:w="1417" w:type="dxa"/>
            <w:gridSpan w:val="3"/>
            <w:tcBorders>
              <w:left w:val="nil"/>
            </w:tcBorders>
          </w:tcPr>
          <w:p w14:paraId="0D6EFB91">
            <w:pPr>
              <w:pStyle w:val="81"/>
              <w:spacing w:after="0"/>
              <w:jc w:val="right"/>
            </w:pPr>
            <w:r>
              <w:rPr>
                <w:b/>
                <w:i/>
              </w:rPr>
              <w:t>Date:</w:t>
            </w:r>
          </w:p>
        </w:tc>
        <w:tc>
          <w:tcPr>
            <w:tcW w:w="2127" w:type="dxa"/>
            <w:tcBorders>
              <w:right w:val="single" w:color="auto" w:sz="4" w:space="0"/>
            </w:tcBorders>
            <w:shd w:val="pct30" w:color="FFFF00" w:fill="auto"/>
          </w:tcPr>
          <w:p w14:paraId="75B5B01B">
            <w:pPr>
              <w:pStyle w:val="81"/>
              <w:spacing w:after="0"/>
              <w:ind w:left="100"/>
              <w:rPr>
                <w:lang w:val="en-US" w:eastAsia="zh-CN"/>
              </w:rPr>
            </w:pPr>
            <w:r>
              <w:rPr>
                <w:rFonts w:hint="eastAsia"/>
                <w:lang w:val="en-US" w:eastAsia="zh-CN"/>
              </w:rPr>
              <w:t>2025-04-16</w:t>
            </w:r>
          </w:p>
        </w:tc>
      </w:tr>
      <w:tr w14:paraId="56B94321">
        <w:tblPrEx>
          <w:tblCellMar>
            <w:top w:w="0" w:type="dxa"/>
            <w:left w:w="42" w:type="dxa"/>
            <w:bottom w:w="0" w:type="dxa"/>
            <w:right w:w="42" w:type="dxa"/>
          </w:tblCellMar>
        </w:tblPrEx>
        <w:tc>
          <w:tcPr>
            <w:tcW w:w="1843" w:type="dxa"/>
            <w:tcBorders>
              <w:left w:val="single" w:color="auto" w:sz="4" w:space="0"/>
            </w:tcBorders>
          </w:tcPr>
          <w:p w14:paraId="552261E8">
            <w:pPr>
              <w:pStyle w:val="81"/>
              <w:spacing w:after="0"/>
              <w:rPr>
                <w:b/>
                <w:i/>
                <w:sz w:val="8"/>
                <w:szCs w:val="8"/>
              </w:rPr>
            </w:pPr>
          </w:p>
        </w:tc>
        <w:tc>
          <w:tcPr>
            <w:tcW w:w="1986" w:type="dxa"/>
            <w:gridSpan w:val="4"/>
          </w:tcPr>
          <w:p w14:paraId="2312E889">
            <w:pPr>
              <w:pStyle w:val="81"/>
              <w:spacing w:after="0"/>
              <w:rPr>
                <w:sz w:val="8"/>
                <w:szCs w:val="8"/>
              </w:rPr>
            </w:pPr>
          </w:p>
        </w:tc>
        <w:tc>
          <w:tcPr>
            <w:tcW w:w="2267" w:type="dxa"/>
            <w:gridSpan w:val="2"/>
          </w:tcPr>
          <w:p w14:paraId="276F8EC9">
            <w:pPr>
              <w:pStyle w:val="81"/>
              <w:spacing w:after="0"/>
              <w:rPr>
                <w:sz w:val="8"/>
                <w:szCs w:val="8"/>
              </w:rPr>
            </w:pPr>
          </w:p>
        </w:tc>
        <w:tc>
          <w:tcPr>
            <w:tcW w:w="1417" w:type="dxa"/>
            <w:gridSpan w:val="3"/>
          </w:tcPr>
          <w:p w14:paraId="7DC585A4">
            <w:pPr>
              <w:pStyle w:val="81"/>
              <w:spacing w:after="0"/>
              <w:rPr>
                <w:sz w:val="8"/>
                <w:szCs w:val="8"/>
              </w:rPr>
            </w:pPr>
          </w:p>
        </w:tc>
        <w:tc>
          <w:tcPr>
            <w:tcW w:w="2127" w:type="dxa"/>
            <w:tcBorders>
              <w:right w:val="single" w:color="auto" w:sz="4" w:space="0"/>
            </w:tcBorders>
          </w:tcPr>
          <w:p w14:paraId="1DA4CF81">
            <w:pPr>
              <w:pStyle w:val="81"/>
              <w:spacing w:after="0"/>
              <w:rPr>
                <w:sz w:val="8"/>
                <w:szCs w:val="8"/>
              </w:rPr>
            </w:pPr>
          </w:p>
        </w:tc>
      </w:tr>
      <w:tr w14:paraId="4CC193CE">
        <w:tblPrEx>
          <w:tblCellMar>
            <w:top w:w="0" w:type="dxa"/>
            <w:left w:w="42" w:type="dxa"/>
            <w:bottom w:w="0" w:type="dxa"/>
            <w:right w:w="42" w:type="dxa"/>
          </w:tblCellMar>
        </w:tblPrEx>
        <w:trPr>
          <w:cantSplit/>
        </w:trPr>
        <w:tc>
          <w:tcPr>
            <w:tcW w:w="1843" w:type="dxa"/>
            <w:tcBorders>
              <w:left w:val="single" w:color="auto" w:sz="4" w:space="0"/>
            </w:tcBorders>
          </w:tcPr>
          <w:p w14:paraId="1C513CD4">
            <w:pPr>
              <w:pStyle w:val="81"/>
              <w:tabs>
                <w:tab w:val="right" w:pos="1759"/>
              </w:tabs>
              <w:spacing w:after="0"/>
              <w:rPr>
                <w:b/>
                <w:i/>
              </w:rPr>
            </w:pPr>
            <w:r>
              <w:rPr>
                <w:b/>
                <w:i/>
              </w:rPr>
              <w:t>Category:</w:t>
            </w:r>
          </w:p>
        </w:tc>
        <w:tc>
          <w:tcPr>
            <w:tcW w:w="851" w:type="dxa"/>
            <w:shd w:val="pct30" w:color="FFFF00" w:fill="auto"/>
          </w:tcPr>
          <w:p w14:paraId="739763CF">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14:paraId="11DCF164">
            <w:pPr>
              <w:pStyle w:val="81"/>
              <w:spacing w:after="0"/>
            </w:pPr>
          </w:p>
        </w:tc>
        <w:tc>
          <w:tcPr>
            <w:tcW w:w="1417" w:type="dxa"/>
            <w:gridSpan w:val="3"/>
            <w:tcBorders>
              <w:left w:val="nil"/>
            </w:tcBorders>
          </w:tcPr>
          <w:p w14:paraId="64254019">
            <w:pPr>
              <w:pStyle w:val="81"/>
              <w:spacing w:after="0"/>
              <w:jc w:val="right"/>
              <w:rPr>
                <w:b/>
                <w:i/>
              </w:rPr>
            </w:pPr>
            <w:r>
              <w:rPr>
                <w:b/>
                <w:i/>
              </w:rPr>
              <w:t>Release:</w:t>
            </w:r>
          </w:p>
        </w:tc>
        <w:tc>
          <w:tcPr>
            <w:tcW w:w="2127" w:type="dxa"/>
            <w:tcBorders>
              <w:right w:val="single" w:color="auto" w:sz="4" w:space="0"/>
            </w:tcBorders>
            <w:shd w:val="pct30" w:color="FFFF00" w:fill="auto"/>
          </w:tcPr>
          <w:p w14:paraId="0418F6D2">
            <w:pPr>
              <w:pStyle w:val="81"/>
              <w:spacing w:after="0"/>
              <w:ind w:left="100"/>
              <w:rPr>
                <w:lang w:val="en-US" w:eastAsia="zh-CN"/>
              </w:rPr>
            </w:pPr>
            <w:r>
              <w:rPr>
                <w:rFonts w:hint="eastAsia"/>
                <w:lang w:val="en-US" w:eastAsia="zh-CN"/>
              </w:rPr>
              <w:t>Rel-1</w:t>
            </w:r>
            <w:r>
              <w:rPr>
                <w:lang w:val="en-US" w:eastAsia="zh-CN"/>
              </w:rPr>
              <w:t>9</w:t>
            </w:r>
          </w:p>
        </w:tc>
      </w:tr>
      <w:tr w14:paraId="5A7374EC">
        <w:tblPrEx>
          <w:tblCellMar>
            <w:top w:w="0" w:type="dxa"/>
            <w:left w:w="42" w:type="dxa"/>
            <w:bottom w:w="0" w:type="dxa"/>
            <w:right w:w="42" w:type="dxa"/>
          </w:tblCellMar>
        </w:tblPrEx>
        <w:tc>
          <w:tcPr>
            <w:tcW w:w="1843" w:type="dxa"/>
            <w:tcBorders>
              <w:left w:val="single" w:color="auto" w:sz="4" w:space="0"/>
              <w:bottom w:val="single" w:color="auto" w:sz="4" w:space="0"/>
            </w:tcBorders>
          </w:tcPr>
          <w:p w14:paraId="3950248C">
            <w:pPr>
              <w:pStyle w:val="81"/>
              <w:spacing w:after="0"/>
              <w:rPr>
                <w:b/>
                <w:i/>
              </w:rPr>
            </w:pPr>
          </w:p>
        </w:tc>
        <w:tc>
          <w:tcPr>
            <w:tcW w:w="4677" w:type="dxa"/>
            <w:gridSpan w:val="8"/>
            <w:tcBorders>
              <w:bottom w:val="single" w:color="auto" w:sz="4" w:space="0"/>
            </w:tcBorders>
          </w:tcPr>
          <w:p w14:paraId="5296D91D">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014079A">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B745F29">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D359B3">
        <w:tblPrEx>
          <w:tblCellMar>
            <w:top w:w="0" w:type="dxa"/>
            <w:left w:w="42" w:type="dxa"/>
            <w:bottom w:w="0" w:type="dxa"/>
            <w:right w:w="42" w:type="dxa"/>
          </w:tblCellMar>
        </w:tblPrEx>
        <w:tc>
          <w:tcPr>
            <w:tcW w:w="1843" w:type="dxa"/>
          </w:tcPr>
          <w:p w14:paraId="1A595EB9">
            <w:pPr>
              <w:pStyle w:val="81"/>
              <w:spacing w:after="0"/>
              <w:rPr>
                <w:b/>
                <w:i/>
                <w:sz w:val="8"/>
                <w:szCs w:val="8"/>
              </w:rPr>
            </w:pPr>
          </w:p>
        </w:tc>
        <w:tc>
          <w:tcPr>
            <w:tcW w:w="7797" w:type="dxa"/>
            <w:gridSpan w:val="10"/>
          </w:tcPr>
          <w:p w14:paraId="7193A2A4">
            <w:pPr>
              <w:pStyle w:val="81"/>
              <w:spacing w:after="0"/>
              <w:rPr>
                <w:sz w:val="8"/>
                <w:szCs w:val="8"/>
              </w:rPr>
            </w:pPr>
          </w:p>
        </w:tc>
      </w:tr>
      <w:tr w14:paraId="414D140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225061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666C14">
            <w:pPr>
              <w:pStyle w:val="81"/>
              <w:spacing w:after="0"/>
              <w:ind w:left="100"/>
              <w:rPr>
                <w:lang w:val="en-US" w:eastAsia="zh-CN"/>
              </w:rPr>
            </w:pPr>
            <w:r>
              <w:rPr>
                <w:rFonts w:hint="eastAsia"/>
              </w:rPr>
              <w:t>Add support of NR-DC related enhancements for XR</w:t>
            </w:r>
            <w:r>
              <w:rPr>
                <w:rFonts w:hint="eastAsia"/>
                <w:lang w:val="en-US" w:eastAsia="zh-CN"/>
              </w:rPr>
              <w:t>.</w:t>
            </w:r>
          </w:p>
        </w:tc>
      </w:tr>
      <w:tr w14:paraId="50405A4A">
        <w:tblPrEx>
          <w:tblCellMar>
            <w:top w:w="0" w:type="dxa"/>
            <w:left w:w="42" w:type="dxa"/>
            <w:bottom w:w="0" w:type="dxa"/>
            <w:right w:w="42" w:type="dxa"/>
          </w:tblCellMar>
        </w:tblPrEx>
        <w:tc>
          <w:tcPr>
            <w:tcW w:w="2694" w:type="dxa"/>
            <w:gridSpan w:val="2"/>
            <w:tcBorders>
              <w:left w:val="single" w:color="auto" w:sz="4" w:space="0"/>
            </w:tcBorders>
          </w:tcPr>
          <w:p w14:paraId="4507404A">
            <w:pPr>
              <w:pStyle w:val="81"/>
              <w:spacing w:after="0"/>
              <w:rPr>
                <w:b/>
                <w:i/>
                <w:sz w:val="8"/>
                <w:szCs w:val="8"/>
              </w:rPr>
            </w:pPr>
          </w:p>
        </w:tc>
        <w:tc>
          <w:tcPr>
            <w:tcW w:w="6946" w:type="dxa"/>
            <w:gridSpan w:val="9"/>
            <w:tcBorders>
              <w:right w:val="single" w:color="auto" w:sz="4" w:space="0"/>
            </w:tcBorders>
          </w:tcPr>
          <w:p w14:paraId="423A439B">
            <w:pPr>
              <w:pStyle w:val="81"/>
              <w:spacing w:after="0"/>
              <w:rPr>
                <w:sz w:val="8"/>
                <w:szCs w:val="8"/>
              </w:rPr>
            </w:pPr>
          </w:p>
        </w:tc>
      </w:tr>
      <w:tr w14:paraId="0E441AF3">
        <w:tblPrEx>
          <w:tblCellMar>
            <w:top w:w="0" w:type="dxa"/>
            <w:left w:w="42" w:type="dxa"/>
            <w:bottom w:w="0" w:type="dxa"/>
            <w:right w:w="42" w:type="dxa"/>
          </w:tblCellMar>
        </w:tblPrEx>
        <w:tc>
          <w:tcPr>
            <w:tcW w:w="2694" w:type="dxa"/>
            <w:gridSpan w:val="2"/>
            <w:tcBorders>
              <w:left w:val="single" w:color="auto" w:sz="4" w:space="0"/>
            </w:tcBorders>
          </w:tcPr>
          <w:p w14:paraId="4FD49F93">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AFAAA50">
            <w:pPr>
              <w:pStyle w:val="81"/>
              <w:spacing w:after="0"/>
              <w:ind w:left="100"/>
              <w:rPr>
                <w:lang w:val="en-US" w:eastAsia="zh-CN"/>
              </w:rPr>
            </w:pPr>
            <w:r>
              <w:rPr>
                <w:rFonts w:hint="eastAsia"/>
                <w:lang w:val="en-US" w:eastAsia="zh-CN"/>
              </w:rPr>
              <w:t>RAN3#123bis:</w:t>
            </w:r>
          </w:p>
          <w:p w14:paraId="6D6485B8">
            <w:pPr>
              <w:pStyle w:val="81"/>
              <w:numPr>
                <w:ilvl w:val="0"/>
                <w:numId w:val="1"/>
              </w:numPr>
              <w:spacing w:after="0"/>
              <w:ind w:left="100"/>
              <w:rPr>
                <w:lang w:val="en-US" w:eastAsia="zh-CN"/>
              </w:rPr>
            </w:pPr>
            <w:r>
              <w:rPr>
                <w:lang w:val="en-US" w:eastAsia="zh-CN"/>
              </w:rPr>
              <w:t>Add the support for XR, and ECN Marking and congestion information exposure in NR-DC.</w:t>
            </w:r>
          </w:p>
          <w:p w14:paraId="446AC8B3">
            <w:pPr>
              <w:pStyle w:val="81"/>
              <w:spacing w:after="0"/>
              <w:rPr>
                <w:lang w:val="en-US" w:eastAsia="zh-CN"/>
              </w:rPr>
            </w:pPr>
          </w:p>
          <w:p w14:paraId="4FA24162">
            <w:pPr>
              <w:pStyle w:val="81"/>
              <w:spacing w:after="0"/>
              <w:ind w:left="100"/>
              <w:rPr>
                <w:lang w:val="en-US" w:eastAsia="zh-CN"/>
              </w:rPr>
            </w:pPr>
            <w:r>
              <w:rPr>
                <w:rFonts w:hint="eastAsia"/>
                <w:lang w:val="en-US" w:eastAsia="zh-CN"/>
              </w:rPr>
              <w:t>RAN3#124:</w:t>
            </w:r>
          </w:p>
          <w:p w14:paraId="1EB33BF3">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14:paraId="5D0F899B">
            <w:pPr>
              <w:pStyle w:val="81"/>
              <w:numPr>
                <w:ilvl w:val="255"/>
                <w:numId w:val="0"/>
              </w:numPr>
              <w:spacing w:after="0"/>
              <w:rPr>
                <w:lang w:val="en-US" w:eastAsia="zh-CN"/>
              </w:rPr>
            </w:pPr>
          </w:p>
          <w:p w14:paraId="381EDF38">
            <w:pPr>
              <w:pStyle w:val="81"/>
              <w:numPr>
                <w:ilvl w:val="255"/>
                <w:numId w:val="0"/>
              </w:numPr>
              <w:spacing w:after="0"/>
              <w:ind w:left="100"/>
              <w:rPr>
                <w:lang w:val="en-US" w:eastAsia="zh-CN"/>
              </w:rPr>
            </w:pPr>
            <w:r>
              <w:rPr>
                <w:lang w:val="en-US" w:eastAsia="zh-CN"/>
              </w:rPr>
              <w:t>RAN3#125:</w:t>
            </w:r>
          </w:p>
          <w:p w14:paraId="13662E01">
            <w:pPr>
              <w:pStyle w:val="81"/>
              <w:numPr>
                <w:ilvl w:val="0"/>
                <w:numId w:val="3"/>
              </w:numPr>
              <w:spacing w:after="0"/>
              <w:ind w:left="100"/>
              <w:rPr>
                <w:lang w:val="en-US" w:eastAsia="zh-CN"/>
              </w:rPr>
            </w:pPr>
            <w:r>
              <w:rPr>
                <w:lang w:val="en-US" w:eastAsia="zh-CN"/>
              </w:rPr>
              <w:t>For DL, MN/SN notifies SN/MN whether the DL PSI based discard is configured or not via XnAP signaling.</w:t>
            </w:r>
          </w:p>
          <w:p w14:paraId="51FF9ADA">
            <w:pPr>
              <w:pStyle w:val="81"/>
              <w:numPr>
                <w:ilvl w:val="0"/>
                <w:numId w:val="3"/>
              </w:numPr>
              <w:spacing w:after="0"/>
              <w:ind w:left="100"/>
              <w:rPr>
                <w:lang w:val="en-US" w:eastAsia="zh-CN"/>
              </w:rPr>
            </w:pPr>
            <w:r>
              <w:rPr>
                <w:rFonts w:hint="eastAsia"/>
                <w:lang w:val="en-US" w:eastAsia="zh-CN"/>
              </w:rPr>
              <w:t>Update the description for forwarding end indication of data burst in 13.x.2.</w:t>
            </w:r>
          </w:p>
          <w:p w14:paraId="55E489C4">
            <w:pPr>
              <w:pStyle w:val="81"/>
              <w:numPr>
                <w:ilvl w:val="255"/>
                <w:numId w:val="0"/>
              </w:numPr>
              <w:spacing w:after="0"/>
              <w:rPr>
                <w:lang w:val="en-US" w:eastAsia="zh-CN"/>
              </w:rPr>
            </w:pPr>
          </w:p>
          <w:p w14:paraId="3B86059C">
            <w:pPr>
              <w:pStyle w:val="81"/>
              <w:numPr>
                <w:ilvl w:val="255"/>
                <w:numId w:val="0"/>
              </w:numPr>
              <w:spacing w:after="0"/>
              <w:ind w:left="100"/>
              <w:rPr>
                <w:lang w:val="en-US" w:eastAsia="zh-CN"/>
              </w:rPr>
            </w:pPr>
            <w:r>
              <w:rPr>
                <w:rFonts w:hint="eastAsia"/>
                <w:lang w:val="en-US" w:eastAsia="zh-CN"/>
              </w:rPr>
              <w:t>RAN3#127bis:</w:t>
            </w:r>
          </w:p>
          <w:p w14:paraId="1F92109C">
            <w:pPr>
              <w:pStyle w:val="81"/>
              <w:numPr>
                <w:ilvl w:val="0"/>
                <w:numId w:val="4"/>
              </w:numPr>
              <w:spacing w:after="0"/>
              <w:ind w:left="100"/>
              <w:rPr>
                <w:lang w:val="en-US" w:eastAsia="zh-CN"/>
              </w:rPr>
            </w:pPr>
            <w:r>
              <w:rPr>
                <w:lang w:val="en-US" w:eastAsia="zh-CN"/>
              </w:rPr>
              <w:t>Capture stage 2 description for SN initiated ECN marking/congestion reporting status change procedure.</w:t>
            </w:r>
          </w:p>
          <w:p w14:paraId="4193E978">
            <w:pPr>
              <w:pStyle w:val="81"/>
              <w:numPr>
                <w:ilvl w:val="0"/>
                <w:numId w:val="2"/>
              </w:numPr>
              <w:spacing w:after="0"/>
              <w:ind w:left="100"/>
              <w:rPr>
                <w:lang w:val="en-US" w:eastAsia="zh-CN"/>
              </w:rPr>
            </w:pPr>
            <w:r>
              <w:rPr>
                <w:rFonts w:hint="eastAsia"/>
                <w:lang w:val="en-US" w:eastAsia="zh-CN"/>
              </w:rPr>
              <w:t>Capture stage 2 description to support alternative PDU Set QoS in MRDC.</w:t>
            </w:r>
          </w:p>
          <w:p w14:paraId="3F0B69D3">
            <w:pPr>
              <w:pStyle w:val="81"/>
              <w:numPr>
                <w:ilvl w:val="-1"/>
                <w:numId w:val="0"/>
              </w:numPr>
              <w:spacing w:after="0"/>
              <w:ind w:left="0"/>
              <w:rPr>
                <w:lang w:val="en-US" w:eastAsia="zh-CN"/>
              </w:rPr>
            </w:pPr>
          </w:p>
          <w:p w14:paraId="28D6A65A">
            <w:pPr>
              <w:pStyle w:val="81"/>
              <w:numPr>
                <w:ilvl w:val="255"/>
                <w:numId w:val="0"/>
              </w:numPr>
              <w:spacing w:after="0"/>
              <w:ind w:left="100"/>
              <w:rPr>
                <w:lang w:val="en-US" w:eastAsia="zh-CN"/>
              </w:rPr>
            </w:pPr>
            <w:r>
              <w:rPr>
                <w:rFonts w:hint="eastAsia"/>
                <w:lang w:val="en-US" w:eastAsia="zh-CN"/>
              </w:rPr>
              <w:t>RAN3#128:</w:t>
            </w:r>
          </w:p>
          <w:p w14:paraId="39AD89B3">
            <w:pPr>
              <w:pStyle w:val="81"/>
              <w:numPr>
                <w:ilvl w:val="0"/>
                <w:numId w:val="5"/>
              </w:numPr>
              <w:spacing w:after="0"/>
              <w:ind w:left="100"/>
              <w:rPr>
                <w:rFonts w:ascii="Arial" w:hAnsi="Arial"/>
                <w:lang w:val="en-US" w:eastAsia="zh-CN"/>
              </w:rPr>
            </w:pPr>
            <w:r>
              <w:rPr>
                <w:rFonts w:ascii="Arial" w:hAnsi="Arial"/>
                <w:lang w:val="en-US" w:eastAsia="zh-CN"/>
              </w:rPr>
              <w:t xml:space="preserve">Capture stage 2 description for </w:t>
            </w:r>
            <w:r>
              <w:rPr>
                <w:rFonts w:hint="eastAsia" w:ascii="Arial" w:hAnsi="Arial"/>
                <w:lang w:val="en-US" w:eastAsia="zh-CN"/>
              </w:rPr>
              <w:t>Burst Size and Time To Next Burst information.</w:t>
            </w:r>
            <w:r>
              <w:rPr>
                <w:rFonts w:ascii="Arial" w:hAnsi="Arial"/>
                <w:lang w:val="en-US" w:eastAsia="zh-CN"/>
              </w:rPr>
              <w:t>.</w:t>
            </w:r>
          </w:p>
          <w:p w14:paraId="721AFE26">
            <w:pPr>
              <w:pStyle w:val="81"/>
              <w:numPr>
                <w:ilvl w:val="255"/>
                <w:numId w:val="0"/>
              </w:numPr>
              <w:spacing w:after="0"/>
              <w:rPr>
                <w:lang w:val="en-US" w:eastAsia="zh-CN"/>
              </w:rPr>
            </w:pPr>
          </w:p>
        </w:tc>
      </w:tr>
      <w:tr w14:paraId="7B02A28A">
        <w:tblPrEx>
          <w:tblCellMar>
            <w:top w:w="0" w:type="dxa"/>
            <w:left w:w="42" w:type="dxa"/>
            <w:bottom w:w="0" w:type="dxa"/>
            <w:right w:w="42" w:type="dxa"/>
          </w:tblCellMar>
        </w:tblPrEx>
        <w:tc>
          <w:tcPr>
            <w:tcW w:w="2694" w:type="dxa"/>
            <w:gridSpan w:val="2"/>
            <w:tcBorders>
              <w:left w:val="single" w:color="auto" w:sz="4" w:space="0"/>
            </w:tcBorders>
          </w:tcPr>
          <w:p w14:paraId="65CA9EBD">
            <w:pPr>
              <w:pStyle w:val="81"/>
              <w:spacing w:after="0"/>
              <w:rPr>
                <w:b/>
                <w:i/>
                <w:sz w:val="8"/>
                <w:szCs w:val="8"/>
              </w:rPr>
            </w:pPr>
          </w:p>
        </w:tc>
        <w:tc>
          <w:tcPr>
            <w:tcW w:w="6946" w:type="dxa"/>
            <w:gridSpan w:val="9"/>
            <w:tcBorders>
              <w:right w:val="single" w:color="auto" w:sz="4" w:space="0"/>
            </w:tcBorders>
          </w:tcPr>
          <w:p w14:paraId="293896EC">
            <w:pPr>
              <w:pStyle w:val="81"/>
              <w:spacing w:after="0"/>
              <w:rPr>
                <w:sz w:val="8"/>
                <w:szCs w:val="8"/>
              </w:rPr>
            </w:pPr>
          </w:p>
        </w:tc>
      </w:tr>
      <w:tr w14:paraId="21870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F227AE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8D29410">
            <w:pPr>
              <w:pStyle w:val="81"/>
              <w:spacing w:after="0"/>
              <w:ind w:left="100"/>
              <w:rPr>
                <w:lang w:val="en-US"/>
              </w:rPr>
            </w:pPr>
            <w:r>
              <w:rPr>
                <w:rFonts w:hint="eastAsia"/>
                <w:lang w:val="en-US" w:eastAsia="zh-CN"/>
              </w:rPr>
              <w:t>Enhancement on NR-DC for XR is not supported.</w:t>
            </w:r>
          </w:p>
        </w:tc>
      </w:tr>
      <w:tr w14:paraId="3D668C5F">
        <w:tblPrEx>
          <w:tblCellMar>
            <w:top w:w="0" w:type="dxa"/>
            <w:left w:w="42" w:type="dxa"/>
            <w:bottom w:w="0" w:type="dxa"/>
            <w:right w:w="42" w:type="dxa"/>
          </w:tblCellMar>
        </w:tblPrEx>
        <w:tc>
          <w:tcPr>
            <w:tcW w:w="2694" w:type="dxa"/>
            <w:gridSpan w:val="2"/>
          </w:tcPr>
          <w:p w14:paraId="54E300FC">
            <w:pPr>
              <w:pStyle w:val="81"/>
              <w:spacing w:after="0"/>
              <w:rPr>
                <w:b/>
                <w:i/>
                <w:sz w:val="8"/>
                <w:szCs w:val="8"/>
              </w:rPr>
            </w:pPr>
          </w:p>
        </w:tc>
        <w:tc>
          <w:tcPr>
            <w:tcW w:w="6946" w:type="dxa"/>
            <w:gridSpan w:val="9"/>
          </w:tcPr>
          <w:p w14:paraId="23A99FDC">
            <w:pPr>
              <w:pStyle w:val="81"/>
              <w:spacing w:after="0"/>
              <w:rPr>
                <w:sz w:val="8"/>
                <w:szCs w:val="8"/>
              </w:rPr>
            </w:pPr>
          </w:p>
        </w:tc>
      </w:tr>
      <w:tr w14:paraId="7CBC64B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223DD00">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E1FD39">
            <w:pPr>
              <w:pStyle w:val="81"/>
              <w:spacing w:after="0"/>
              <w:ind w:left="100"/>
              <w:rPr>
                <w:lang w:val="en-US" w:eastAsia="zh-CN"/>
              </w:rPr>
            </w:pPr>
            <w:r>
              <w:rPr>
                <w:lang w:val="en-US" w:eastAsia="zh-CN"/>
              </w:rPr>
              <w:t xml:space="preserve">10.13.2, </w:t>
            </w:r>
            <w:r>
              <w:rPr>
                <w:rFonts w:hint="eastAsia"/>
                <w:lang w:val="en-US" w:eastAsia="zh-CN"/>
              </w:rPr>
              <w:t>13.x (new), 13.y (new)</w:t>
            </w:r>
          </w:p>
        </w:tc>
      </w:tr>
      <w:tr w14:paraId="57F3CDDC">
        <w:tblPrEx>
          <w:tblCellMar>
            <w:top w:w="0" w:type="dxa"/>
            <w:left w:w="42" w:type="dxa"/>
            <w:bottom w:w="0" w:type="dxa"/>
            <w:right w:w="42" w:type="dxa"/>
          </w:tblCellMar>
        </w:tblPrEx>
        <w:tc>
          <w:tcPr>
            <w:tcW w:w="2694" w:type="dxa"/>
            <w:gridSpan w:val="2"/>
            <w:tcBorders>
              <w:left w:val="single" w:color="auto" w:sz="4" w:space="0"/>
            </w:tcBorders>
          </w:tcPr>
          <w:p w14:paraId="626FFD91">
            <w:pPr>
              <w:pStyle w:val="81"/>
              <w:spacing w:after="0"/>
              <w:rPr>
                <w:b/>
                <w:i/>
                <w:sz w:val="8"/>
                <w:szCs w:val="8"/>
              </w:rPr>
            </w:pPr>
          </w:p>
        </w:tc>
        <w:tc>
          <w:tcPr>
            <w:tcW w:w="6946" w:type="dxa"/>
            <w:gridSpan w:val="9"/>
            <w:tcBorders>
              <w:right w:val="single" w:color="auto" w:sz="4" w:space="0"/>
            </w:tcBorders>
          </w:tcPr>
          <w:p w14:paraId="7D5F9C15">
            <w:pPr>
              <w:pStyle w:val="81"/>
              <w:spacing w:after="0"/>
              <w:rPr>
                <w:sz w:val="8"/>
                <w:szCs w:val="8"/>
              </w:rPr>
            </w:pPr>
          </w:p>
        </w:tc>
      </w:tr>
      <w:tr w14:paraId="324953AD">
        <w:tblPrEx>
          <w:tblCellMar>
            <w:top w:w="0" w:type="dxa"/>
            <w:left w:w="42" w:type="dxa"/>
            <w:bottom w:w="0" w:type="dxa"/>
            <w:right w:w="42" w:type="dxa"/>
          </w:tblCellMar>
        </w:tblPrEx>
        <w:tc>
          <w:tcPr>
            <w:tcW w:w="2694" w:type="dxa"/>
            <w:gridSpan w:val="2"/>
            <w:tcBorders>
              <w:left w:val="single" w:color="auto" w:sz="4" w:space="0"/>
            </w:tcBorders>
          </w:tcPr>
          <w:p w14:paraId="3F2D510E">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88B61A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2DF5CC">
            <w:pPr>
              <w:pStyle w:val="81"/>
              <w:spacing w:after="0"/>
              <w:jc w:val="center"/>
              <w:rPr>
                <w:b/>
                <w:caps/>
              </w:rPr>
            </w:pPr>
            <w:r>
              <w:rPr>
                <w:b/>
                <w:caps/>
              </w:rPr>
              <w:t>N</w:t>
            </w:r>
          </w:p>
        </w:tc>
        <w:tc>
          <w:tcPr>
            <w:tcW w:w="2977" w:type="dxa"/>
            <w:gridSpan w:val="4"/>
          </w:tcPr>
          <w:p w14:paraId="4C3B5A71">
            <w:pPr>
              <w:pStyle w:val="81"/>
              <w:tabs>
                <w:tab w:val="right" w:pos="2893"/>
              </w:tabs>
              <w:spacing w:after="0"/>
            </w:pPr>
          </w:p>
        </w:tc>
        <w:tc>
          <w:tcPr>
            <w:tcW w:w="3401" w:type="dxa"/>
            <w:gridSpan w:val="3"/>
            <w:tcBorders>
              <w:right w:val="single" w:color="auto" w:sz="4" w:space="0"/>
            </w:tcBorders>
            <w:shd w:val="clear" w:color="FFFF00" w:fill="auto"/>
          </w:tcPr>
          <w:p w14:paraId="1C0977E5">
            <w:pPr>
              <w:pStyle w:val="81"/>
              <w:spacing w:after="0"/>
              <w:ind w:left="99"/>
            </w:pPr>
          </w:p>
        </w:tc>
      </w:tr>
      <w:tr w14:paraId="1706D585">
        <w:tblPrEx>
          <w:tblCellMar>
            <w:top w:w="0" w:type="dxa"/>
            <w:left w:w="42" w:type="dxa"/>
            <w:bottom w:w="0" w:type="dxa"/>
            <w:right w:w="42" w:type="dxa"/>
          </w:tblCellMar>
        </w:tblPrEx>
        <w:tc>
          <w:tcPr>
            <w:tcW w:w="2694" w:type="dxa"/>
            <w:gridSpan w:val="2"/>
            <w:tcBorders>
              <w:left w:val="single" w:color="auto" w:sz="4" w:space="0"/>
            </w:tcBorders>
          </w:tcPr>
          <w:p w14:paraId="421BD24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05E39F1">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E1B813">
            <w:pPr>
              <w:pStyle w:val="81"/>
              <w:spacing w:after="0"/>
              <w:jc w:val="center"/>
              <w:rPr>
                <w:b/>
                <w:caps/>
              </w:rPr>
            </w:pPr>
          </w:p>
        </w:tc>
        <w:tc>
          <w:tcPr>
            <w:tcW w:w="2977" w:type="dxa"/>
            <w:gridSpan w:val="4"/>
          </w:tcPr>
          <w:p w14:paraId="635FB5D3">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9CF427B">
            <w:pPr>
              <w:pStyle w:val="81"/>
              <w:spacing w:after="0"/>
              <w:ind w:left="99"/>
            </w:pPr>
            <w:r>
              <w:t>TS 38.300 CR</w:t>
            </w:r>
          </w:p>
          <w:p w14:paraId="4F3658ED">
            <w:pPr>
              <w:pStyle w:val="81"/>
              <w:spacing w:after="0"/>
              <w:ind w:left="99"/>
            </w:pPr>
            <w:r>
              <w:t>TS 37.483 CR 0171</w:t>
            </w:r>
          </w:p>
          <w:p w14:paraId="72FE59AE">
            <w:pPr>
              <w:pStyle w:val="81"/>
              <w:spacing w:after="0"/>
              <w:ind w:left="99"/>
            </w:pPr>
            <w:r>
              <w:t>TS 38.413 CR 1282</w:t>
            </w:r>
          </w:p>
          <w:p w14:paraId="22C36365">
            <w:pPr>
              <w:pStyle w:val="81"/>
              <w:spacing w:after="0"/>
              <w:ind w:left="99"/>
            </w:pPr>
            <w:r>
              <w:t xml:space="preserve">TS </w:t>
            </w:r>
            <w:r>
              <w:rPr>
                <w:rFonts w:hint="eastAsia"/>
                <w:lang w:val="en-US" w:eastAsia="zh-CN"/>
              </w:rPr>
              <w:t>38.423</w:t>
            </w:r>
            <w:r>
              <w:t xml:space="preserve"> CR </w:t>
            </w:r>
            <w:r>
              <w:rPr>
                <w:rFonts w:hint="eastAsia"/>
              </w:rPr>
              <w:t>1269</w:t>
            </w:r>
            <w:r>
              <w:t xml:space="preserve"> </w:t>
            </w:r>
          </w:p>
          <w:p w14:paraId="3CC8E4D8">
            <w:pPr>
              <w:pStyle w:val="81"/>
              <w:spacing w:after="0"/>
              <w:ind w:left="99"/>
            </w:pPr>
            <w:r>
              <w:t>TS 38.473 CR 1485</w:t>
            </w:r>
          </w:p>
          <w:p w14:paraId="0200136E">
            <w:pPr>
              <w:pStyle w:val="81"/>
              <w:spacing w:after="0"/>
              <w:ind w:left="99"/>
            </w:pPr>
            <w:r>
              <w:t>TS 38.415 CR 0056</w:t>
            </w:r>
          </w:p>
          <w:p w14:paraId="57F61815">
            <w:pPr>
              <w:pStyle w:val="81"/>
              <w:spacing w:after="0"/>
              <w:ind w:left="99"/>
              <w:rPr>
                <w:highlight w:val="cyan"/>
              </w:rPr>
            </w:pPr>
            <w:r>
              <w:t>TS 38.425 CR 0156</w:t>
            </w:r>
          </w:p>
        </w:tc>
      </w:tr>
      <w:tr w14:paraId="7353FD61">
        <w:tblPrEx>
          <w:tblCellMar>
            <w:top w:w="0" w:type="dxa"/>
            <w:left w:w="42" w:type="dxa"/>
            <w:bottom w:w="0" w:type="dxa"/>
            <w:right w:w="42" w:type="dxa"/>
          </w:tblCellMar>
        </w:tblPrEx>
        <w:tc>
          <w:tcPr>
            <w:tcW w:w="2694" w:type="dxa"/>
            <w:gridSpan w:val="2"/>
            <w:tcBorders>
              <w:left w:val="single" w:color="auto" w:sz="4" w:space="0"/>
            </w:tcBorders>
          </w:tcPr>
          <w:p w14:paraId="7C3A0B68">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9D4888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9872EC3">
            <w:pPr>
              <w:pStyle w:val="81"/>
              <w:spacing w:after="0"/>
              <w:jc w:val="center"/>
              <w:rPr>
                <w:b/>
                <w:caps/>
              </w:rPr>
            </w:pPr>
            <w:r>
              <w:rPr>
                <w:b/>
                <w:caps/>
              </w:rPr>
              <w:t>X</w:t>
            </w:r>
          </w:p>
        </w:tc>
        <w:tc>
          <w:tcPr>
            <w:tcW w:w="2977" w:type="dxa"/>
            <w:gridSpan w:val="4"/>
          </w:tcPr>
          <w:p w14:paraId="6219C8C1">
            <w:pPr>
              <w:pStyle w:val="81"/>
              <w:spacing w:after="0"/>
            </w:pPr>
            <w:r>
              <w:t xml:space="preserve"> Test specifications</w:t>
            </w:r>
          </w:p>
        </w:tc>
        <w:tc>
          <w:tcPr>
            <w:tcW w:w="3401" w:type="dxa"/>
            <w:gridSpan w:val="3"/>
            <w:tcBorders>
              <w:right w:val="single" w:color="auto" w:sz="4" w:space="0"/>
            </w:tcBorders>
            <w:shd w:val="pct30" w:color="FFFF00" w:fill="auto"/>
          </w:tcPr>
          <w:p w14:paraId="12376CC2">
            <w:pPr>
              <w:pStyle w:val="81"/>
              <w:spacing w:after="0"/>
              <w:ind w:left="99"/>
            </w:pPr>
            <w:r>
              <w:t xml:space="preserve">TS/TR ... CR ... </w:t>
            </w:r>
          </w:p>
        </w:tc>
      </w:tr>
      <w:tr w14:paraId="5A5CD739">
        <w:tblPrEx>
          <w:tblCellMar>
            <w:top w:w="0" w:type="dxa"/>
            <w:left w:w="42" w:type="dxa"/>
            <w:bottom w:w="0" w:type="dxa"/>
            <w:right w:w="42" w:type="dxa"/>
          </w:tblCellMar>
        </w:tblPrEx>
        <w:tc>
          <w:tcPr>
            <w:tcW w:w="2694" w:type="dxa"/>
            <w:gridSpan w:val="2"/>
            <w:tcBorders>
              <w:left w:val="single" w:color="auto" w:sz="4" w:space="0"/>
            </w:tcBorders>
          </w:tcPr>
          <w:p w14:paraId="782C6733">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A7FFE3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47A8F0">
            <w:pPr>
              <w:pStyle w:val="81"/>
              <w:spacing w:after="0"/>
              <w:jc w:val="center"/>
              <w:rPr>
                <w:b/>
                <w:caps/>
              </w:rPr>
            </w:pPr>
            <w:r>
              <w:rPr>
                <w:b/>
                <w:caps/>
              </w:rPr>
              <w:t>X</w:t>
            </w:r>
          </w:p>
        </w:tc>
        <w:tc>
          <w:tcPr>
            <w:tcW w:w="2977" w:type="dxa"/>
            <w:gridSpan w:val="4"/>
          </w:tcPr>
          <w:p w14:paraId="07290B28">
            <w:pPr>
              <w:pStyle w:val="81"/>
              <w:spacing w:after="0"/>
            </w:pPr>
            <w:r>
              <w:t xml:space="preserve"> O&amp;M Specifications</w:t>
            </w:r>
          </w:p>
        </w:tc>
        <w:tc>
          <w:tcPr>
            <w:tcW w:w="3401" w:type="dxa"/>
            <w:gridSpan w:val="3"/>
            <w:tcBorders>
              <w:right w:val="single" w:color="auto" w:sz="4" w:space="0"/>
            </w:tcBorders>
            <w:shd w:val="pct30" w:color="FFFF00" w:fill="auto"/>
          </w:tcPr>
          <w:p w14:paraId="4C9DBCB2">
            <w:pPr>
              <w:pStyle w:val="81"/>
              <w:spacing w:after="0"/>
              <w:ind w:left="99"/>
            </w:pPr>
            <w:r>
              <w:t xml:space="preserve">TS/TR ... CR ... </w:t>
            </w:r>
          </w:p>
        </w:tc>
      </w:tr>
      <w:tr w14:paraId="7A8CDCE4">
        <w:tblPrEx>
          <w:tblCellMar>
            <w:top w:w="0" w:type="dxa"/>
            <w:left w:w="42" w:type="dxa"/>
            <w:bottom w:w="0" w:type="dxa"/>
            <w:right w:w="42" w:type="dxa"/>
          </w:tblCellMar>
        </w:tblPrEx>
        <w:tc>
          <w:tcPr>
            <w:tcW w:w="2694" w:type="dxa"/>
            <w:gridSpan w:val="2"/>
            <w:tcBorders>
              <w:left w:val="single" w:color="auto" w:sz="4" w:space="0"/>
            </w:tcBorders>
          </w:tcPr>
          <w:p w14:paraId="36B98863">
            <w:pPr>
              <w:pStyle w:val="81"/>
              <w:spacing w:after="0"/>
              <w:rPr>
                <w:b/>
                <w:i/>
              </w:rPr>
            </w:pPr>
          </w:p>
        </w:tc>
        <w:tc>
          <w:tcPr>
            <w:tcW w:w="6946" w:type="dxa"/>
            <w:gridSpan w:val="9"/>
            <w:tcBorders>
              <w:right w:val="single" w:color="auto" w:sz="4" w:space="0"/>
            </w:tcBorders>
          </w:tcPr>
          <w:p w14:paraId="06B22046">
            <w:pPr>
              <w:pStyle w:val="81"/>
              <w:spacing w:after="0"/>
            </w:pPr>
          </w:p>
        </w:tc>
      </w:tr>
      <w:tr w14:paraId="5D12705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9031144">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5BA09AF">
            <w:pPr>
              <w:pStyle w:val="81"/>
              <w:spacing w:after="0"/>
              <w:ind w:left="100"/>
            </w:pPr>
          </w:p>
        </w:tc>
      </w:tr>
      <w:tr w14:paraId="7011B65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76BA2E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7562D38">
            <w:pPr>
              <w:pStyle w:val="81"/>
              <w:spacing w:after="0"/>
              <w:ind w:left="100"/>
              <w:rPr>
                <w:sz w:val="8"/>
                <w:szCs w:val="8"/>
              </w:rPr>
            </w:pPr>
          </w:p>
        </w:tc>
      </w:tr>
      <w:tr w14:paraId="517B91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28D81F2">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9BF0671">
            <w:pPr>
              <w:pStyle w:val="81"/>
              <w:spacing w:after="0"/>
              <w:ind w:left="100"/>
              <w:rPr>
                <w:lang w:val="en-US" w:eastAsia="zh-CN"/>
              </w:rPr>
            </w:pPr>
            <w:r>
              <w:rPr>
                <w:rFonts w:hint="eastAsia"/>
                <w:lang w:val="en-US" w:eastAsia="zh-CN"/>
              </w:rPr>
              <w:t>Rev 1: Resubmit R3-242192</w:t>
            </w:r>
          </w:p>
          <w:p w14:paraId="7066FBAF">
            <w:pPr>
              <w:pStyle w:val="81"/>
              <w:spacing w:after="0"/>
              <w:ind w:left="100"/>
              <w:rPr>
                <w:lang w:val="en-US" w:eastAsia="zh-CN"/>
              </w:rPr>
            </w:pPr>
            <w:r>
              <w:rPr>
                <w:rFonts w:hint="eastAsia"/>
                <w:lang w:val="en-US" w:eastAsia="zh-CN"/>
              </w:rPr>
              <w:t>Rev 2: Revision of R3-243104, capture the agreed TPs R3-243897 and R3-243899</w:t>
            </w:r>
          </w:p>
          <w:p w14:paraId="39D25239">
            <w:pPr>
              <w:pStyle w:val="81"/>
              <w:spacing w:after="0"/>
              <w:ind w:left="100"/>
              <w:rPr>
                <w:lang w:val="en-US" w:eastAsia="zh-CN"/>
              </w:rPr>
            </w:pPr>
            <w:r>
              <w:rPr>
                <w:rFonts w:hint="eastAsia"/>
                <w:lang w:val="en-US" w:eastAsia="zh-CN"/>
              </w:rPr>
              <w:t>Rev 3: Resubmit to RAN3#125.</w:t>
            </w:r>
          </w:p>
          <w:p w14:paraId="54A9330A">
            <w:pPr>
              <w:pStyle w:val="81"/>
              <w:spacing w:after="0"/>
              <w:ind w:left="100"/>
              <w:rPr>
                <w:lang w:val="en-US" w:eastAsia="zh-CN"/>
              </w:rPr>
            </w:pPr>
            <w:r>
              <w:rPr>
                <w:rFonts w:hint="eastAsia"/>
                <w:lang w:val="en-US" w:eastAsia="zh-CN"/>
              </w:rPr>
              <w:t>Rev</w:t>
            </w:r>
            <w:r>
              <w:rPr>
                <w:lang w:val="en-US" w:eastAsia="zh-CN"/>
              </w:rPr>
              <w:t xml:space="preserve"> 4: Revision of R3-244032, capture the agreed TP R3-244846.</w:t>
            </w:r>
          </w:p>
          <w:p w14:paraId="7A17FAC5">
            <w:pPr>
              <w:pStyle w:val="81"/>
              <w:spacing w:after="0"/>
              <w:ind w:left="100"/>
              <w:rPr>
                <w:lang w:val="en-US" w:eastAsia="zh-CN"/>
              </w:rPr>
            </w:pPr>
            <w:r>
              <w:rPr>
                <w:rFonts w:hint="eastAsia"/>
                <w:lang w:val="en-US" w:eastAsia="zh-CN"/>
              </w:rPr>
              <w:t>Rev 5: Resubmit to RAN3#125bis.</w:t>
            </w:r>
          </w:p>
          <w:p w14:paraId="04FC463D">
            <w:pPr>
              <w:pStyle w:val="81"/>
              <w:spacing w:after="0"/>
              <w:ind w:left="100"/>
              <w:rPr>
                <w:lang w:val="en-US" w:eastAsia="zh-CN"/>
              </w:rPr>
            </w:pPr>
            <w:r>
              <w:rPr>
                <w:rFonts w:hint="eastAsia"/>
                <w:lang w:val="en-US" w:eastAsia="zh-CN"/>
              </w:rPr>
              <w:t>Rev 6: Resubmit to RAN3#127bis.</w:t>
            </w:r>
          </w:p>
          <w:p w14:paraId="5D1F5093">
            <w:pPr>
              <w:pStyle w:val="81"/>
              <w:spacing w:after="0"/>
              <w:ind w:left="100"/>
              <w:rPr>
                <w:lang w:val="en-US" w:eastAsia="zh-CN"/>
              </w:rPr>
            </w:pPr>
            <w:r>
              <w:rPr>
                <w:rFonts w:hint="eastAsia"/>
                <w:lang w:val="en-US" w:eastAsia="zh-CN"/>
              </w:rPr>
              <w:t>Rev 7: Revision of 251577, capture the agreed TP R3-252350, R3-252367</w:t>
            </w:r>
            <w:r>
              <w:rPr>
                <w:lang w:val="en-US" w:eastAsia="zh-CN"/>
              </w:rPr>
              <w:t>.</w:t>
            </w:r>
          </w:p>
          <w:p w14:paraId="1562FD02">
            <w:pPr>
              <w:pStyle w:val="81"/>
              <w:spacing w:after="0"/>
              <w:ind w:left="100"/>
              <w:rPr>
                <w:lang w:val="en-US" w:eastAsia="zh-CN"/>
              </w:rPr>
            </w:pPr>
            <w:r>
              <w:rPr>
                <w:lang w:val="en-US" w:eastAsia="zh-CN"/>
              </w:rPr>
              <w:t>Rev 8: Resubmit to RAN3#128.</w:t>
            </w:r>
          </w:p>
          <w:p w14:paraId="1190F4E5">
            <w:pPr>
              <w:pStyle w:val="81"/>
              <w:spacing w:after="0"/>
              <w:ind w:left="100"/>
              <w:rPr>
                <w:lang w:val="en-US" w:eastAsia="zh-CN"/>
              </w:rPr>
            </w:pPr>
            <w:r>
              <w:rPr>
                <w:rFonts w:hint="eastAsia"/>
                <w:lang w:val="en-US" w:eastAsia="zh-CN"/>
              </w:rPr>
              <w:t>Rev 9: Capture the description in R3-252350 in clause 13.y.</w:t>
            </w:r>
          </w:p>
          <w:p w14:paraId="010FAD64">
            <w:pPr>
              <w:pStyle w:val="81"/>
              <w:spacing w:after="0"/>
              <w:ind w:left="100"/>
              <w:rPr>
                <w:lang w:val="en-US" w:eastAsia="zh-CN"/>
              </w:rPr>
            </w:pPr>
            <w:r>
              <w:rPr>
                <w:rFonts w:hint="eastAsia"/>
                <w:lang w:val="en-US" w:eastAsia="zh-CN"/>
              </w:rPr>
              <w:t>Rev 10:Revision of R3-253197, capture the agreed TP R3-253836.</w:t>
            </w:r>
          </w:p>
        </w:tc>
      </w:tr>
    </w:tbl>
    <w:p w14:paraId="0C8F4941">
      <w:pPr>
        <w:pStyle w:val="81"/>
        <w:spacing w:after="0"/>
        <w:rPr>
          <w:sz w:val="8"/>
          <w:szCs w:val="8"/>
        </w:rPr>
      </w:pPr>
    </w:p>
    <w:p w14:paraId="54D145E0">
      <w:pPr>
        <w:sectPr>
          <w:headerReference r:id="rId5" w:type="even"/>
          <w:footnotePr>
            <w:numRestart w:val="eachSect"/>
          </w:footnotePr>
          <w:pgSz w:w="11907" w:h="16840"/>
          <w:pgMar w:top="1418" w:right="1134" w:bottom="1134" w:left="1134" w:header="680" w:footer="567" w:gutter="0"/>
          <w:cols w:space="720" w:num="1"/>
        </w:sectPr>
      </w:pPr>
    </w:p>
    <w:p w14:paraId="61269BC3">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14:paraId="21326FC5">
      <w:pPr>
        <w:jc w:val="center"/>
        <w:rPr>
          <w:rFonts w:eastAsia="等线"/>
          <w:b/>
          <w:i/>
          <w:color w:val="FF0000"/>
          <w:sz w:val="21"/>
          <w:highlight w:val="yellow"/>
          <w:lang w:eastAsia="zh-CN"/>
        </w:rPr>
      </w:pPr>
    </w:p>
    <w:p w14:paraId="26F68992">
      <w:pPr>
        <w:keepNext/>
        <w:keepLines/>
        <w:overflowPunct w:val="0"/>
        <w:autoSpaceDE w:val="0"/>
        <w:autoSpaceDN w:val="0"/>
        <w:adjustRightInd w:val="0"/>
        <w:spacing w:before="12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r>
      <w:r>
        <w:rPr>
          <w:rFonts w:ascii="Arial" w:hAnsi="Arial"/>
          <w:sz w:val="28"/>
          <w:lang w:eastAsia="zh-CN"/>
        </w:rPr>
        <w:t>MR-DC with 5GC</w:t>
      </w:r>
    </w:p>
    <w:p w14:paraId="5B0877EF">
      <w:pPr>
        <w:overflowPunct w:val="0"/>
        <w:autoSpaceDE w:val="0"/>
        <w:autoSpaceDN w:val="0"/>
        <w:adjustRightInd w:val="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ins w:id="0" w:author="Author" w:date="2025-04-25T15:26:00Z">
        <w:r>
          <w:rPr>
            <w:lang w:eastAsia="zh-CN"/>
          </w:rPr>
          <w:t>/PSER/PSDB</w:t>
        </w:r>
      </w:ins>
      <w:ins w:id="1" w:author="Author" w:date="2025-04-25T15:26:00Z">
        <w:r>
          <w:rPr>
            <w:lang w:eastAsia="ja-JP"/>
          </w:rPr>
          <w:t xml:space="preserve"> </w:t>
        </w:r>
      </w:ins>
      <w:r>
        <w:rPr>
          <w:lang w:eastAsia="ja-JP"/>
        </w:rPr>
        <w:t>for one or several QoS flows cannot be fulfilled any more or can be fulfilled again by the reporting node.</w:t>
      </w:r>
    </w:p>
    <w:p w14:paraId="6EEDFA1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5" o:spt="75" type="#_x0000_t75" style="height:114.65pt;width:482.4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3AA13920">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56194D93">
      <w:pPr>
        <w:overflowPunct w:val="0"/>
        <w:autoSpaceDE w:val="0"/>
        <w:autoSpaceDN w:val="0"/>
        <w:adjustRightInd w:val="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23C1EF26">
      <w:pPr>
        <w:overflowPunct w:val="0"/>
        <w:autoSpaceDE w:val="0"/>
        <w:autoSpaceDN w:val="0"/>
        <w:adjustRightInd w:val="0"/>
        <w:ind w:left="568" w:hanging="284"/>
        <w:textAlignment w:val="baseline"/>
        <w:rPr>
          <w:lang w:eastAsia="zh-CN"/>
        </w:rPr>
      </w:pPr>
      <w:r>
        <w:rPr>
          <w:lang w:eastAsia="ja-JP"/>
        </w:rPr>
        <w:t>1.</w:t>
      </w:r>
      <w:r>
        <w:rPr>
          <w:lang w:eastAsia="ja-JP"/>
        </w:rPr>
        <w:tab/>
      </w:r>
      <w:r>
        <w:rPr>
          <w:lang w:eastAsia="ja-JP"/>
        </w:rPr>
        <w:t>The M</w:t>
      </w:r>
      <w:r>
        <w:rPr>
          <w:lang w:eastAsia="zh-CN"/>
        </w:rPr>
        <w:t>N may, for an SN terminated bearer, indicate, that the GFBR</w:t>
      </w:r>
      <w:ins w:id="2" w:author="Author" w:date="2025-04-25T15:26:00Z">
        <w:r>
          <w:rPr>
            <w:lang w:eastAsia="zh-CN"/>
          </w:rPr>
          <w:t xml:space="preserve">/PSER/PSDB </w:t>
        </w:r>
      </w:ins>
      <w:r>
        <w:rPr>
          <w:lang w:eastAsia="zh-CN"/>
        </w:rPr>
        <w:t>requested from the MN cannot be fulfilled anymore.</w:t>
      </w:r>
      <w:r>
        <w:rPr>
          <w:lang w:eastAsia="zh-CN"/>
        </w:rPr>
        <w:br w:type="textWrapping"/>
      </w:r>
      <w:r>
        <w:rPr>
          <w:lang w:eastAsia="zh-CN"/>
        </w:rPr>
        <w:t>In case the SN terminated bearer is configured as a split bearer, the SN may decide to increase the share provided by the SN or it may decide to notify the MN that resources requested for the SN terminated bearer cannot fulfill the GFBR</w:t>
      </w:r>
      <w:ins w:id="3" w:author="Author" w:date="2025-04-25T15:26:00Z">
        <w:r>
          <w:rPr>
            <w:lang w:eastAsia="zh-CN"/>
          </w:rPr>
          <w:t xml:space="preserve">/PSER/PSDB </w:t>
        </w:r>
      </w:ins>
      <w:r>
        <w:rPr>
          <w:lang w:eastAsia="zh-CN"/>
        </w:rPr>
        <w:t>any more.</w:t>
      </w:r>
    </w:p>
    <w:p w14:paraId="62004A1D">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Continuing the example message flow from step 1, the SN informs the MN that the GFBR</w:t>
      </w:r>
      <w:ins w:id="4" w:author="Author" w:date="2025-04-25T15:26:00Z">
        <w:r>
          <w:rPr>
            <w:lang w:eastAsia="zh-CN"/>
          </w:rPr>
          <w:t>/PSER/PSDB</w:t>
        </w:r>
      </w:ins>
      <w:ins w:id="5" w:author="Author" w:date="2025-04-25T15:26:00Z">
        <w:r>
          <w:rPr>
            <w:lang w:eastAsia="ja-JP"/>
          </w:rPr>
          <w:t xml:space="preserve"> </w:t>
        </w:r>
      </w:ins>
      <w:r>
        <w:rPr>
          <w:lang w:eastAsia="ja-JP"/>
        </w:rPr>
        <w:t>for an SN terminated bearer cannot be fulfilled any more.</w:t>
      </w:r>
    </w:p>
    <w:p w14:paraId="4028150D">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The MN decides to inform the 5GC that NG-RAN cannot fulfill the GFBR</w:t>
      </w:r>
      <w:ins w:id="6" w:author="Author" w:date="2025-04-25T15:26:00Z">
        <w:r>
          <w:rPr>
            <w:lang w:eastAsia="zh-CN"/>
          </w:rPr>
          <w:t>/PSER/PSDB</w:t>
        </w:r>
      </w:ins>
      <w:ins w:id="7" w:author="Author" w:date="2025-04-25T15:26:00Z">
        <w:r>
          <w:rPr>
            <w:lang w:eastAsia="ja-JP"/>
          </w:rPr>
          <w:t xml:space="preserve"> </w:t>
        </w:r>
      </w:ins>
      <w:r>
        <w:rPr>
          <w:lang w:eastAsia="ja-JP"/>
        </w:rPr>
        <w:t>for a GBR QoS flow any more.</w:t>
      </w:r>
    </w:p>
    <w:p w14:paraId="5CBC5762">
      <w:pPr>
        <w:overflowPunct w:val="0"/>
        <w:autoSpaceDE w:val="0"/>
        <w:autoSpaceDN w:val="0"/>
        <w:adjustRightInd w:val="0"/>
        <w:ind w:left="568" w:hanging="284"/>
        <w:textAlignment w:val="baseline"/>
        <w:rPr>
          <w:ins w:id="8" w:author="Author" w:date="2025-04-25T15:26:00Z"/>
          <w:lang w:val="en-US" w:eastAsia="ja-JP"/>
        </w:rPr>
      </w:pPr>
      <w:ins w:id="9" w:author="Author" w:date="2025-04-25T15:26:00Z">
        <w:r>
          <w:rPr>
            <w:lang w:val="en-US" w:eastAsia="ja-JP"/>
          </w:rPr>
          <w:t>Editor Note: FFS whether other parameters are necessary in this clause.</w:t>
        </w:r>
      </w:ins>
    </w:p>
    <w:p w14:paraId="40712544">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14:paraId="4FAF734D">
      <w:pPr>
        <w:keepNext/>
        <w:keepLines/>
        <w:overflowPunct w:val="0"/>
        <w:autoSpaceDE w:val="0"/>
        <w:autoSpaceDN w:val="0"/>
        <w:adjustRightInd w:val="0"/>
        <w:spacing w:before="180"/>
        <w:ind w:left="1134" w:hanging="1134"/>
        <w:textAlignment w:val="baseline"/>
        <w:outlineLvl w:val="1"/>
        <w:rPr>
          <w:ins w:id="10" w:author="Author" w:date="2024-05-10T13:34:00Z"/>
          <w:rFonts w:ascii="Arial" w:hAnsi="Arial"/>
          <w:sz w:val="32"/>
          <w:lang w:eastAsia="zh-CN"/>
        </w:rPr>
      </w:pPr>
      <w:ins w:id="11" w:author="Author" w:date="2024-05-10T13:34:00Z">
        <w:bookmarkStart w:id="1" w:name="_Toc155991759"/>
        <w:r>
          <w:rPr>
            <w:rFonts w:ascii="Arial" w:hAnsi="Arial"/>
            <w:sz w:val="32"/>
            <w:lang w:eastAsia="zh-CN"/>
          </w:rPr>
          <w:t>1</w:t>
        </w:r>
      </w:ins>
      <w:ins w:id="12" w:author="Author" w:date="2024-05-10T13:34:00Z">
        <w:r>
          <w:rPr>
            <w:rFonts w:hint="eastAsia" w:ascii="Arial" w:hAnsi="Arial"/>
            <w:sz w:val="32"/>
            <w:lang w:val="en-US" w:eastAsia="zh-CN"/>
          </w:rPr>
          <w:t>3</w:t>
        </w:r>
      </w:ins>
      <w:ins w:id="13" w:author="Author" w:date="2024-05-10T13:34:00Z">
        <w:r>
          <w:rPr>
            <w:rFonts w:ascii="Arial" w:hAnsi="Arial"/>
            <w:sz w:val="32"/>
            <w:lang w:eastAsia="zh-CN"/>
          </w:rPr>
          <w:t>.</w:t>
        </w:r>
      </w:ins>
      <w:ins w:id="14" w:author="Author" w:date="2024-05-10T13:34:00Z">
        <w:r>
          <w:rPr>
            <w:rFonts w:hint="eastAsia" w:ascii="Arial" w:hAnsi="Arial"/>
            <w:sz w:val="32"/>
            <w:lang w:val="en-US" w:eastAsia="zh-CN"/>
          </w:rPr>
          <w:t>x</w:t>
        </w:r>
      </w:ins>
      <w:ins w:id="15" w:author="Author" w:date="2024-05-10T13:34:00Z">
        <w:r>
          <w:rPr>
            <w:rFonts w:ascii="Arial" w:hAnsi="Arial"/>
            <w:sz w:val="32"/>
            <w:lang w:eastAsia="zh-CN"/>
          </w:rPr>
          <w:tab/>
        </w:r>
      </w:ins>
      <w:ins w:id="16" w:author="Author" w:date="2024-05-10T13:34:00Z">
        <w:r>
          <w:rPr>
            <w:rFonts w:ascii="Arial" w:hAnsi="Arial"/>
            <w:sz w:val="32"/>
            <w:lang w:eastAsia="zh-CN"/>
          </w:rPr>
          <w:t>eXtended Reality Services</w:t>
        </w:r>
      </w:ins>
    </w:p>
    <w:p w14:paraId="18E72366">
      <w:pPr>
        <w:keepNext/>
        <w:keepLines/>
        <w:spacing w:before="120"/>
        <w:ind w:left="1134" w:hanging="1134"/>
        <w:outlineLvl w:val="2"/>
        <w:rPr>
          <w:ins w:id="17" w:author="Author" w:date="2024-05-10T13:34:00Z"/>
          <w:rFonts w:ascii="Arial" w:hAnsi="Arial"/>
          <w:sz w:val="28"/>
        </w:rPr>
      </w:pPr>
      <w:ins w:id="18" w:author="Author" w:date="2024-05-10T13:34:00Z">
        <w:r>
          <w:rPr>
            <w:rFonts w:ascii="Arial" w:hAnsi="Arial"/>
            <w:sz w:val="28"/>
          </w:rPr>
          <w:t>13.</w:t>
        </w:r>
      </w:ins>
      <w:ins w:id="19" w:author="Author" w:date="2024-05-10T13:34:00Z">
        <w:r>
          <w:rPr>
            <w:rFonts w:hint="eastAsia" w:ascii="Arial" w:hAnsi="Arial"/>
            <w:sz w:val="28"/>
            <w:lang w:val="en-US" w:eastAsia="zh-CN"/>
          </w:rPr>
          <w:t>x</w:t>
        </w:r>
      </w:ins>
      <w:ins w:id="20" w:author="Author" w:date="2024-05-10T13:34:00Z">
        <w:r>
          <w:rPr>
            <w:rFonts w:ascii="Arial" w:hAnsi="Arial"/>
            <w:sz w:val="28"/>
          </w:rPr>
          <w:t>.1</w:t>
        </w:r>
      </w:ins>
      <w:ins w:id="21" w:author="Author" w:date="2024-05-10T13:34:00Z">
        <w:r>
          <w:rPr>
            <w:rFonts w:ascii="Arial" w:hAnsi="Arial"/>
            <w:sz w:val="28"/>
          </w:rPr>
          <w:tab/>
        </w:r>
      </w:ins>
      <w:ins w:id="22" w:author="Author" w:date="2024-05-10T13:34:00Z">
        <w:r>
          <w:rPr>
            <w:rFonts w:ascii="Arial" w:hAnsi="Arial"/>
            <w:sz w:val="28"/>
          </w:rPr>
          <w:t>Overview</w:t>
        </w:r>
      </w:ins>
    </w:p>
    <w:p w14:paraId="7645AC09">
      <w:pPr>
        <w:rPr>
          <w:ins w:id="23" w:author="Author" w:date="2024-05-10T13:34:00Z"/>
          <w:rFonts w:eastAsia="Malgun Gothic"/>
        </w:rPr>
      </w:pPr>
      <w:ins w:id="24" w:author="Author" w:date="2024-05-10T13:34:00Z">
        <w:r>
          <w:rPr>
            <w:rFonts w:eastAsia="Malgun Gothic"/>
          </w:rPr>
          <w:t xml:space="preserve">The </w:t>
        </w:r>
      </w:ins>
      <w:ins w:id="25" w:author="Author" w:date="2024-05-10T13:34:00Z">
        <w:r>
          <w:rPr>
            <w:rFonts w:hint="eastAsia" w:eastAsia="Malgun Gothic"/>
          </w:rPr>
          <w:t>eXtended Reality Services</w:t>
        </w:r>
      </w:ins>
      <w:ins w:id="26" w:author="Author" w:date="2024-05-10T13:34:00Z">
        <w:r>
          <w:rPr>
            <w:rFonts w:eastAsia="Malgun Gothic"/>
          </w:rPr>
          <w:t xml:space="preserve"> as described in TS 38.300 [3] is extended to address the NR-DC operation. </w:t>
        </w:r>
      </w:ins>
    </w:p>
    <w:p w14:paraId="69E5C702">
      <w:pPr>
        <w:keepNext/>
        <w:keepLines/>
        <w:overflowPunct w:val="0"/>
        <w:autoSpaceDE w:val="0"/>
        <w:autoSpaceDN w:val="0"/>
        <w:adjustRightInd w:val="0"/>
        <w:spacing w:before="120"/>
        <w:ind w:left="1134" w:hanging="1134"/>
        <w:textAlignment w:val="baseline"/>
        <w:outlineLvl w:val="2"/>
        <w:rPr>
          <w:ins w:id="27" w:author="Author" w:date="2024-05-10T13:34:00Z"/>
          <w:rFonts w:ascii="Arial" w:hAnsi="Arial"/>
          <w:sz w:val="28"/>
          <w:lang w:eastAsia="ja-JP"/>
        </w:rPr>
      </w:pPr>
      <w:ins w:id="28" w:author="Author" w:date="2024-05-10T13:34:00Z">
        <w:r>
          <w:rPr>
            <w:rFonts w:ascii="Arial" w:hAnsi="Arial"/>
            <w:sz w:val="28"/>
            <w:lang w:eastAsia="ja-JP"/>
          </w:rPr>
          <w:t>1</w:t>
        </w:r>
      </w:ins>
      <w:ins w:id="29" w:author="Author" w:date="2024-05-10T13:34:00Z">
        <w:r>
          <w:rPr>
            <w:rFonts w:hint="eastAsia" w:ascii="Arial" w:hAnsi="Arial"/>
            <w:sz w:val="28"/>
            <w:lang w:val="en-US" w:eastAsia="zh-CN"/>
          </w:rPr>
          <w:t>3</w:t>
        </w:r>
      </w:ins>
      <w:ins w:id="30" w:author="Author" w:date="2024-05-10T13:34:00Z">
        <w:r>
          <w:rPr>
            <w:rFonts w:ascii="Arial" w:hAnsi="Arial"/>
            <w:sz w:val="28"/>
            <w:lang w:eastAsia="ja-JP"/>
          </w:rPr>
          <w:t>.</w:t>
        </w:r>
      </w:ins>
      <w:ins w:id="31" w:author="Author" w:date="2024-05-10T13:34:00Z">
        <w:r>
          <w:rPr>
            <w:rFonts w:hint="eastAsia" w:ascii="Arial" w:hAnsi="Arial"/>
            <w:sz w:val="28"/>
            <w:lang w:val="en-US" w:eastAsia="zh-CN"/>
          </w:rPr>
          <w:t>x</w:t>
        </w:r>
      </w:ins>
      <w:ins w:id="32" w:author="Author" w:date="2024-05-10T13:34:00Z">
        <w:r>
          <w:rPr>
            <w:rFonts w:ascii="Arial" w:hAnsi="Arial"/>
            <w:sz w:val="28"/>
            <w:lang w:eastAsia="ja-JP"/>
          </w:rPr>
          <w:t>.2</w:t>
        </w:r>
      </w:ins>
      <w:ins w:id="33" w:author="Author" w:date="2024-05-10T13:34:00Z">
        <w:r>
          <w:rPr>
            <w:rFonts w:ascii="Arial" w:hAnsi="Arial"/>
            <w:sz w:val="28"/>
            <w:lang w:eastAsia="ja-JP"/>
          </w:rPr>
          <w:tab/>
        </w:r>
      </w:ins>
      <w:ins w:id="34" w:author="Author" w:date="2024-05-10T13:34:00Z">
        <w:r>
          <w:rPr>
            <w:rFonts w:ascii="Arial" w:hAnsi="Arial"/>
            <w:sz w:val="28"/>
            <w:lang w:eastAsia="ja-JP"/>
          </w:rPr>
          <w:t>Awareness</w:t>
        </w:r>
      </w:ins>
    </w:p>
    <w:p w14:paraId="2F108DBD">
      <w:pPr>
        <w:rPr>
          <w:lang w:val="en-US" w:eastAsia="zh-CN"/>
        </w:rPr>
      </w:pPr>
      <w:ins w:id="35" w:author="Author" w:date="2024-05-10T13:34:00Z">
        <w:r>
          <w:rPr>
            <w:rFonts w:hint="eastAsia"/>
          </w:rPr>
          <w:t xml:space="preserve">During the </w:t>
        </w:r>
      </w:ins>
      <w:ins w:id="36" w:author="Author" w:date="2024-05-10T13:34:00Z">
        <w:r>
          <w:rPr>
            <w:rFonts w:hint="eastAsia"/>
            <w:lang w:val="en-US" w:eastAsia="zh-CN"/>
          </w:rPr>
          <w:t xml:space="preserve">SN </w:t>
        </w:r>
      </w:ins>
      <w:ins w:id="37" w:author="Author" w:date="2024-05-10T13:34:00Z">
        <w:r>
          <w:rPr>
            <w:lang w:val="en-US" w:eastAsia="zh-CN"/>
          </w:rPr>
          <w:t>Addition</w:t>
        </w:r>
      </w:ins>
      <w:ins w:id="38" w:author="Author" w:date="2024-05-10T13:34:00Z">
        <w:r>
          <w:rPr>
            <w:rFonts w:hint="eastAsia"/>
            <w:lang w:val="en-US" w:eastAsia="zh-CN"/>
          </w:rPr>
          <w:t xml:space="preserve"> </w:t>
        </w:r>
      </w:ins>
      <w:ins w:id="39" w:author="Author" w:date="2024-05-10T13:34:00Z">
        <w:r>
          <w:rPr>
            <w:lang w:val="en-US" w:eastAsia="zh-CN"/>
          </w:rPr>
          <w:t xml:space="preserve">Preparation </w:t>
        </w:r>
      </w:ins>
      <w:ins w:id="40" w:author="Author" w:date="2024-05-10T13:34:00Z">
        <w:r>
          <w:rPr>
            <w:rFonts w:hint="eastAsia"/>
          </w:rPr>
          <w:t>procedure</w:t>
        </w:r>
      </w:ins>
      <w:ins w:id="41" w:author="Author" w:date="2024-05-10T13:34:00Z">
        <w:r>
          <w:rPr>
            <w:rFonts w:hint="eastAsia"/>
            <w:lang w:val="en-US" w:eastAsia="zh-CN"/>
          </w:rPr>
          <w:t xml:space="preserve"> and the MN initiated SN modification </w:t>
        </w:r>
      </w:ins>
      <w:ins w:id="42" w:author="Author" w:date="2024-05-10T13:34:00Z">
        <w:r>
          <w:rPr>
            <w:rFonts w:hint="eastAsia"/>
          </w:rPr>
          <w:t xml:space="preserve">procedure, the </w:t>
        </w:r>
      </w:ins>
      <w:ins w:id="43" w:author="Author" w:date="2024-05-10T13:34:00Z">
        <w:r>
          <w:rPr>
            <w:rFonts w:hint="eastAsia"/>
            <w:lang w:val="en-US" w:eastAsia="zh-CN"/>
          </w:rPr>
          <w:t>MN</w:t>
        </w:r>
      </w:ins>
      <w:ins w:id="44" w:author="Author" w:date="2024-05-10T13:34:00Z">
        <w:r>
          <w:rPr>
            <w:rFonts w:hint="eastAsia"/>
          </w:rPr>
          <w:t xml:space="preserve"> </w:t>
        </w:r>
      </w:ins>
      <w:ins w:id="45" w:author="Author" w:date="2024-05-10T13:34:00Z">
        <w:r>
          <w:rPr>
            <w:rFonts w:hint="eastAsia"/>
            <w:lang w:val="en-US" w:eastAsia="zh-CN"/>
          </w:rPr>
          <w:t xml:space="preserve">may </w:t>
        </w:r>
      </w:ins>
      <w:ins w:id="46" w:author="Author" w:date="2024-05-10T13:34:00Z">
        <w:r>
          <w:rPr>
            <w:rFonts w:hint="eastAsia"/>
          </w:rPr>
          <w:t xml:space="preserve">send the PDU Set QoS Parameters as part of the QoS profile to the </w:t>
        </w:r>
      </w:ins>
      <w:ins w:id="47" w:author="Author" w:date="2024-05-10T13:34:00Z">
        <w:r>
          <w:rPr>
            <w:rFonts w:hint="eastAsia"/>
            <w:lang w:val="en-US" w:eastAsia="zh-CN"/>
          </w:rPr>
          <w:t>SN to enable PDU Set based QoS handling.</w:t>
        </w:r>
      </w:ins>
    </w:p>
    <w:p w14:paraId="291A68B9">
      <w:pPr>
        <w:overflowPunct w:val="0"/>
        <w:autoSpaceDE w:val="0"/>
        <w:autoSpaceDN w:val="0"/>
        <w:adjustRightInd w:val="0"/>
        <w:textAlignment w:val="baseline"/>
        <w:rPr>
          <w:ins w:id="48" w:author="Author" w:date="2024-06-06T16:58:00Z"/>
          <w:lang w:eastAsia="zh-CN"/>
        </w:rPr>
      </w:pPr>
      <w:ins w:id="49" w:author="Author" w:date="2024-06-06T16:58:00Z">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50" w:author="Author" w:date="2024-06-06T16:58:00Z">
        <w:r>
          <w:rPr>
            <w:rFonts w:hint="eastAsia"/>
            <w:lang w:eastAsia="zh-CN"/>
          </w:rPr>
          <w:t>of</w:t>
        </w:r>
      </w:ins>
      <w:ins w:id="51" w:author="Author" w:date="2024-06-06T16:58:00Z">
        <w:r>
          <w:rPr>
            <w:lang w:eastAsia="zh-CN"/>
          </w:rPr>
          <w:t xml:space="preserve"> the MN.</w:t>
        </w:r>
      </w:ins>
    </w:p>
    <w:p w14:paraId="75304B9C">
      <w:pPr>
        <w:rPr>
          <w:ins w:id="52" w:author="Author" w:date="2025-06-06T09:27:46Z"/>
        </w:rPr>
      </w:pPr>
      <w:ins w:id="53" w:author="Author" w:date="2024-08-29T09:25:00Z">
        <w:r>
          <w:rPr/>
          <w:t xml:space="preserve">When the PDCP hosting gNB receives the End of Data Burst Indication from the UPF, it always provides the End of Data Burst Indication to the corresponding node when data transmission from the PDCP hosting node to the </w:t>
        </w:r>
      </w:ins>
      <w:ins w:id="54" w:author="Author" w:date="2025-06-06T09:27:46Z">
        <w:r>
          <w:rPr/>
          <w:t xml:space="preserve">corresponding node is needed for the </w:t>
        </w:r>
      </w:ins>
      <w:ins w:id="55" w:author="Author" w:date="2025-06-06T09:27:46Z">
        <w:r>
          <w:rPr>
            <w:lang w:val="en-US"/>
          </w:rPr>
          <w:t>Data Burst</w:t>
        </w:r>
      </w:ins>
      <w:ins w:id="56" w:author="Author" w:date="2025-06-06T09:27:46Z">
        <w:r>
          <w:rPr/>
          <w:t>.</w:t>
        </w:r>
      </w:ins>
    </w:p>
    <w:p w14:paraId="78AC80FB">
      <w:pPr>
        <w:rPr>
          <w:ins w:id="57" w:author="Author" w:date="2025-06-06T09:27:33Z"/>
          <w:lang w:val="en-US" w:eastAsia="zh-CN"/>
        </w:rPr>
      </w:pPr>
      <w:ins w:id="58" w:author="Author" w:date="2025-06-06T09:27:46Z">
        <w:r>
          <w:rPr/>
          <w:t xml:space="preserve">When the PDCP hosting gNB receives the Burst Size and/or the Time To Next Burst from the UPF, it always provides </w:t>
        </w:r>
      </w:ins>
      <w:ins w:id="59" w:author="Author" w:date="2025-06-06T09:27:33Z">
        <w:r>
          <w:rPr/>
          <w:t>the Burst Size and/or the Time To Next Burst to the corresponding node when data transmission from the PDCP hosting node to the corresponding node is needed for the Data Burst.</w:t>
        </w:r>
      </w:ins>
    </w:p>
    <w:p w14:paraId="794EAFD1">
      <w:pPr>
        <w:keepNext/>
        <w:keepLines/>
        <w:overflowPunct w:val="0"/>
        <w:autoSpaceDE w:val="0"/>
        <w:autoSpaceDN w:val="0"/>
        <w:adjustRightInd w:val="0"/>
        <w:spacing w:before="120"/>
        <w:ind w:left="1134" w:hanging="1134"/>
        <w:textAlignment w:val="baseline"/>
        <w:outlineLvl w:val="2"/>
        <w:rPr>
          <w:ins w:id="60" w:author="Author" w:date="2024-08-29T09:25:00Z"/>
          <w:rFonts w:ascii="Arial" w:hAnsi="Arial"/>
          <w:sz w:val="28"/>
          <w:lang w:val="en-US" w:eastAsia="zh-CN"/>
        </w:rPr>
      </w:pPr>
      <w:ins w:id="61" w:author="Author" w:date="2024-08-29T09:25:00Z">
        <w:r>
          <w:rPr>
            <w:rFonts w:ascii="Arial" w:hAnsi="Arial"/>
            <w:sz w:val="28"/>
            <w:lang w:eastAsia="ja-JP"/>
          </w:rPr>
          <w:t>1</w:t>
        </w:r>
      </w:ins>
      <w:ins w:id="62" w:author="Author" w:date="2024-08-29T09:25:00Z">
        <w:r>
          <w:rPr>
            <w:rFonts w:hint="eastAsia" w:ascii="Arial" w:hAnsi="Arial"/>
            <w:sz w:val="28"/>
            <w:lang w:val="en-US" w:eastAsia="zh-CN"/>
          </w:rPr>
          <w:t>3</w:t>
        </w:r>
      </w:ins>
      <w:ins w:id="63" w:author="Author" w:date="2024-08-29T09:25:00Z">
        <w:r>
          <w:rPr>
            <w:rFonts w:ascii="Arial" w:hAnsi="Arial"/>
            <w:sz w:val="28"/>
            <w:lang w:eastAsia="ja-JP"/>
          </w:rPr>
          <w:t>.</w:t>
        </w:r>
      </w:ins>
      <w:ins w:id="64" w:author="Author" w:date="2024-08-29T09:25:00Z">
        <w:r>
          <w:rPr>
            <w:rFonts w:hint="eastAsia" w:ascii="Arial" w:hAnsi="Arial"/>
            <w:sz w:val="28"/>
            <w:lang w:val="en-US" w:eastAsia="zh-CN"/>
          </w:rPr>
          <w:t>x</w:t>
        </w:r>
      </w:ins>
      <w:ins w:id="65" w:author="Author" w:date="2024-08-29T09:25:00Z">
        <w:r>
          <w:rPr>
            <w:rFonts w:ascii="Arial" w:hAnsi="Arial"/>
            <w:sz w:val="28"/>
            <w:lang w:eastAsia="ja-JP"/>
          </w:rPr>
          <w:t>.</w:t>
        </w:r>
      </w:ins>
      <w:ins w:id="66" w:author="Author" w:date="2024-08-29T09:25:00Z">
        <w:r>
          <w:rPr>
            <w:rFonts w:ascii="Arial" w:hAnsi="Arial"/>
            <w:sz w:val="28"/>
            <w:lang w:val="en-US" w:eastAsia="zh-CN"/>
          </w:rPr>
          <w:t>3</w:t>
        </w:r>
      </w:ins>
      <w:ins w:id="67" w:author="Author" w:date="2024-08-29T09:25:00Z">
        <w:r>
          <w:rPr>
            <w:rFonts w:ascii="Arial" w:hAnsi="Arial"/>
            <w:sz w:val="28"/>
            <w:lang w:eastAsia="ja-JP"/>
          </w:rPr>
          <w:tab/>
        </w:r>
      </w:ins>
      <w:ins w:id="68" w:author="Author" w:date="2024-08-29T09:25:00Z">
        <w:r>
          <w:rPr>
            <w:rFonts w:ascii="Arial" w:hAnsi="Arial"/>
            <w:sz w:val="28"/>
            <w:lang w:val="en-US" w:eastAsia="ja-JP"/>
          </w:rPr>
          <w:t xml:space="preserve">PSI based </w:t>
        </w:r>
      </w:ins>
      <w:ins w:id="69" w:author="Author" w:date="2024-08-29T09:25:00Z">
        <w:r>
          <w:rPr>
            <w:rFonts w:hint="eastAsia" w:ascii="Arial" w:hAnsi="Arial"/>
            <w:sz w:val="28"/>
            <w:lang w:val="en-US" w:eastAsia="zh-CN"/>
          </w:rPr>
          <w:t>Discard</w:t>
        </w:r>
      </w:ins>
      <w:ins w:id="70" w:author="Author" w:date="2024-08-29T09:25:00Z">
        <w:r>
          <w:rPr>
            <w:rFonts w:ascii="Arial" w:hAnsi="Arial"/>
            <w:sz w:val="28"/>
            <w:lang w:val="en-US" w:eastAsia="zh-CN"/>
          </w:rPr>
          <w:t>ing</w:t>
        </w:r>
      </w:ins>
    </w:p>
    <w:p w14:paraId="5ABBD910">
      <w:pPr>
        <w:rPr>
          <w:ins w:id="71" w:author="Author" w:date="2024-08-29T09:25:00Z"/>
          <w:lang w:val="en-US" w:eastAsia="zh-CN"/>
        </w:rPr>
      </w:pPr>
      <w:ins w:id="72" w:author="Author" w:date="2024-08-29T09:25:00Z">
        <w:r>
          <w:rPr>
            <w:lang w:val="en-US" w:eastAsia="zh-CN"/>
          </w:rPr>
          <w:t xml:space="preserve">For MN terminated SCG bearer and split bearer, the MN notifies SN </w:t>
        </w:r>
      </w:ins>
      <w:ins w:id="73" w:author="Author" w:date="2024-08-29T09:25:00Z">
        <w:r>
          <w:rPr>
            <w:rFonts w:hint="eastAsia"/>
            <w:lang w:val="en-US" w:eastAsia="zh-CN"/>
          </w:rPr>
          <w:t>whether the</w:t>
        </w:r>
      </w:ins>
      <w:ins w:id="74" w:author="Author" w:date="2024-08-29T09:25:00Z">
        <w:r>
          <w:rPr>
            <w:lang w:val="en-US" w:eastAsia="zh-CN"/>
          </w:rPr>
          <w:t xml:space="preserve"> UL/DL</w:t>
        </w:r>
      </w:ins>
      <w:ins w:id="75" w:author="Author" w:date="2024-08-29T09:25:00Z">
        <w:r>
          <w:rPr>
            <w:rFonts w:hint="eastAsia"/>
            <w:lang w:val="en-US" w:eastAsia="zh-CN"/>
          </w:rPr>
          <w:t xml:space="preserve"> PSI based SDU discarding is (re)configured/released for uplink</w:t>
        </w:r>
      </w:ins>
      <w:ins w:id="76" w:author="Author" w:date="2024-08-29T09:25:00Z">
        <w:r>
          <w:rPr>
            <w:lang w:val="en-US" w:eastAsia="zh-CN"/>
          </w:rPr>
          <w:t>/downlink</w:t>
        </w:r>
      </w:ins>
      <w:ins w:id="77" w:author="Author" w:date="2024-08-29T09:25:00Z">
        <w:r>
          <w:rPr>
            <w:rFonts w:hint="eastAsia"/>
            <w:lang w:val="en-US" w:eastAsia="zh-CN"/>
          </w:rPr>
          <w:t xml:space="preserve"> discarding</w:t>
        </w:r>
      </w:ins>
      <w:ins w:id="78" w:author="Author" w:date="2024-08-29T09:25:00Z">
        <w:r>
          <w:rPr>
            <w:lang w:val="en-US" w:eastAsia="zh-CN"/>
          </w:rPr>
          <w:t xml:space="preserve"> via XnAP signaling</w:t>
        </w:r>
      </w:ins>
      <w:ins w:id="79" w:author="Author" w:date="2024-08-29T09:25:00Z">
        <w:r>
          <w:rPr>
            <w:rFonts w:hint="eastAsia"/>
            <w:lang w:val="en-US" w:eastAsia="zh-CN"/>
          </w:rPr>
          <w:t>.</w:t>
        </w:r>
      </w:ins>
    </w:p>
    <w:p w14:paraId="738329A1">
      <w:pPr>
        <w:rPr>
          <w:ins w:id="80" w:author="Author" w:date="2024-08-29T09:25:00Z"/>
          <w:lang w:val="en-US" w:eastAsia="zh-CN"/>
        </w:rPr>
      </w:pPr>
      <w:ins w:id="81" w:author="Author" w:date="2024-08-29T09:25:00Z">
        <w:r>
          <w:rPr>
            <w:lang w:val="en-US" w:eastAsia="zh-CN"/>
          </w:rPr>
          <w:t>For SN terminated MCG bearer and split bearer, the SN notifies MN</w:t>
        </w:r>
      </w:ins>
      <w:ins w:id="82" w:author="Author" w:date="2024-08-29T09:25:00Z">
        <w:r>
          <w:rPr>
            <w:rFonts w:hint="eastAsia"/>
            <w:lang w:val="en-US" w:eastAsia="zh-CN"/>
          </w:rPr>
          <w:t xml:space="preserve"> whether the</w:t>
        </w:r>
      </w:ins>
      <w:ins w:id="83" w:author="Author" w:date="2024-08-29T09:25:00Z">
        <w:r>
          <w:rPr>
            <w:lang w:val="en-US" w:eastAsia="zh-CN"/>
          </w:rPr>
          <w:t xml:space="preserve"> UL/DL</w:t>
        </w:r>
      </w:ins>
      <w:ins w:id="84" w:author="Author" w:date="2024-08-29T09:25:00Z">
        <w:r>
          <w:rPr>
            <w:rFonts w:hint="eastAsia"/>
            <w:lang w:val="en-US" w:eastAsia="zh-CN"/>
          </w:rPr>
          <w:t xml:space="preserve"> PSI based SDU discarding is (re)configured/released for uplink</w:t>
        </w:r>
      </w:ins>
      <w:ins w:id="85" w:author="Author" w:date="2024-08-29T09:25:00Z">
        <w:r>
          <w:rPr>
            <w:lang w:val="en-US" w:eastAsia="zh-CN"/>
          </w:rPr>
          <w:t>/downlink</w:t>
        </w:r>
      </w:ins>
      <w:ins w:id="86" w:author="Author" w:date="2024-08-29T09:25:00Z">
        <w:r>
          <w:rPr>
            <w:rFonts w:hint="eastAsia"/>
            <w:lang w:val="en-US" w:eastAsia="zh-CN"/>
          </w:rPr>
          <w:t xml:space="preserve"> discarding</w:t>
        </w:r>
      </w:ins>
      <w:ins w:id="87" w:author="Author" w:date="2024-08-29T09:25:00Z">
        <w:r>
          <w:rPr>
            <w:lang w:val="en-US" w:eastAsia="zh-CN"/>
          </w:rPr>
          <w:t xml:space="preserve"> via XnAP signaling</w:t>
        </w:r>
      </w:ins>
      <w:ins w:id="88" w:author="Author" w:date="2024-08-29T09:25:00Z">
        <w:r>
          <w:rPr>
            <w:rFonts w:hint="eastAsia"/>
            <w:lang w:val="en-US" w:eastAsia="zh-CN"/>
          </w:rPr>
          <w:t>.</w:t>
        </w:r>
      </w:ins>
    </w:p>
    <w:p w14:paraId="09E0F822">
      <w:pPr>
        <w:keepNext/>
        <w:keepLines/>
        <w:overflowPunct w:val="0"/>
        <w:autoSpaceDE w:val="0"/>
        <w:autoSpaceDN w:val="0"/>
        <w:adjustRightInd w:val="0"/>
        <w:spacing w:before="120"/>
        <w:ind w:left="1134" w:hanging="1134"/>
        <w:textAlignment w:val="baseline"/>
        <w:outlineLvl w:val="2"/>
        <w:rPr>
          <w:ins w:id="89" w:author="Author" w:date="2024-05-10T13:34:00Z"/>
          <w:rFonts w:ascii="Arial" w:hAnsi="Arial"/>
          <w:sz w:val="28"/>
          <w:lang w:eastAsia="ja-JP"/>
        </w:rPr>
      </w:pPr>
      <w:ins w:id="90" w:author="Author" w:date="2024-05-10T13:34:00Z">
        <w:r>
          <w:rPr>
            <w:rFonts w:ascii="Arial" w:hAnsi="Arial"/>
            <w:sz w:val="28"/>
            <w:lang w:eastAsia="ja-JP"/>
          </w:rPr>
          <w:t>1</w:t>
        </w:r>
      </w:ins>
      <w:ins w:id="91" w:author="Author" w:date="2024-05-10T13:34:00Z">
        <w:r>
          <w:rPr>
            <w:rFonts w:hint="eastAsia" w:ascii="Arial" w:hAnsi="Arial"/>
            <w:sz w:val="28"/>
            <w:lang w:val="en-US" w:eastAsia="zh-CN"/>
          </w:rPr>
          <w:t>3</w:t>
        </w:r>
      </w:ins>
      <w:ins w:id="92" w:author="Author" w:date="2024-05-10T13:34:00Z">
        <w:r>
          <w:rPr>
            <w:rFonts w:ascii="Arial" w:hAnsi="Arial"/>
            <w:sz w:val="28"/>
            <w:lang w:eastAsia="ja-JP"/>
          </w:rPr>
          <w:t>.</w:t>
        </w:r>
      </w:ins>
      <w:ins w:id="93" w:author="Author" w:date="2024-05-10T13:34:00Z">
        <w:r>
          <w:rPr>
            <w:rFonts w:ascii="Arial" w:hAnsi="Arial"/>
            <w:sz w:val="28"/>
            <w:lang w:val="en-US" w:eastAsia="zh-CN"/>
          </w:rPr>
          <w:t>y</w:t>
        </w:r>
      </w:ins>
      <w:ins w:id="94" w:author="Author" w:date="2024-05-10T13:34:00Z">
        <w:r>
          <w:rPr>
            <w:rFonts w:ascii="Arial" w:hAnsi="Arial"/>
            <w:sz w:val="28"/>
            <w:lang w:eastAsia="ja-JP"/>
          </w:rPr>
          <w:tab/>
        </w:r>
      </w:ins>
      <w:ins w:id="95" w:author="Author" w:date="2024-05-10T13:34:00Z">
        <w:r>
          <w:rPr>
            <w:rFonts w:ascii="Arial" w:hAnsi="Arial"/>
            <w:sz w:val="28"/>
            <w:lang w:eastAsia="ja-JP"/>
          </w:rPr>
          <w:t>ECN marking for L4S and congestion information exposure</w:t>
        </w:r>
      </w:ins>
    </w:p>
    <w:p w14:paraId="169BE089">
      <w:pPr>
        <w:rPr>
          <w:ins w:id="96" w:author="Author" w:date="2024-05-10T13:34:00Z"/>
          <w:rFonts w:eastAsia="Malgun Gothic"/>
        </w:rPr>
      </w:pPr>
      <w:ins w:id="97" w:author="Author" w:date="2024-05-10T13:34:00Z">
        <w:r>
          <w:rPr>
            <w:rFonts w:eastAsia="Malgun Gothic"/>
          </w:rPr>
          <w:t xml:space="preserve">The ECN marking for L4S and congestion information exposure as described in TS 38.300 [3] is extended to address the NR-DC operation. </w:t>
        </w:r>
      </w:ins>
    </w:p>
    <w:p w14:paraId="75019360">
      <w:pPr>
        <w:rPr>
          <w:ins w:id="98" w:author="Author" w:date="2024-05-10T13:34:00Z"/>
          <w:lang w:val="en-US" w:eastAsia="zh-CN"/>
        </w:rPr>
      </w:pPr>
      <w:ins w:id="99" w:author="Author" w:date="2024-05-10T13:34:00Z">
        <w:r>
          <w:rPr/>
          <w:t>For ECN marking for L4S at gNB</w:t>
        </w:r>
      </w:ins>
      <w:ins w:id="100" w:author="Author" w:date="2024-05-10T13:34:00Z">
        <w:r>
          <w:rPr>
            <w:rFonts w:hint="eastAsia"/>
            <w:lang w:val="en-US" w:eastAsia="zh-CN"/>
          </w:rPr>
          <w:t xml:space="preserve"> or UPF</w:t>
        </w:r>
      </w:ins>
      <w:ins w:id="101" w:author="Author" w:date="2024-05-10T13:34:00Z">
        <w:r>
          <w:rPr/>
          <w:t>, d</w:t>
        </w:r>
      </w:ins>
      <w:ins w:id="102" w:author="Author" w:date="2024-05-10T13:34:00Z">
        <w:r>
          <w:rPr>
            <w:lang w:val="en-US" w:eastAsia="zh-CN"/>
          </w:rPr>
          <w:t xml:space="preserve">uring the Xn SN Addition Preparation procedure or MN initiated SN Modification Preparation procedure, the MN provides the ECN marking request </w:t>
        </w:r>
      </w:ins>
      <w:ins w:id="103" w:author="Author" w:date="2024-05-10T13:34:00Z">
        <w:r>
          <w:rPr>
            <w:rFonts w:hint="eastAsia"/>
            <w:lang w:val="en-US" w:eastAsia="zh-CN"/>
          </w:rPr>
          <w:t xml:space="preserve">at gNB or </w:t>
        </w:r>
      </w:ins>
      <w:ins w:id="104" w:author="Author" w:date="2024-05-10T13:34:00Z">
        <w:r>
          <w:rPr>
            <w:lang w:val="en-US" w:eastAsia="zh-CN"/>
          </w:rPr>
          <w:t xml:space="preserve">ECN marking request </w:t>
        </w:r>
      </w:ins>
      <w:ins w:id="105" w:author="Author" w:date="2024-05-10T13:34:00Z">
        <w:r>
          <w:rPr>
            <w:rFonts w:hint="eastAsia"/>
            <w:lang w:val="en-US" w:eastAsia="zh-CN"/>
          </w:rPr>
          <w:t xml:space="preserve">at UPF </w:t>
        </w:r>
      </w:ins>
      <w:ins w:id="106" w:author="Author" w:date="2024-05-10T13:34:00Z">
        <w:r>
          <w:rPr>
            <w:lang w:val="en-US" w:eastAsia="zh-CN"/>
          </w:rPr>
          <w:t>to SN and SN report</w:t>
        </w:r>
      </w:ins>
      <w:ins w:id="107" w:author="Author" w:date="2024-05-10T13:34:00Z">
        <w:r>
          <w:rPr>
            <w:rFonts w:hint="eastAsia"/>
            <w:lang w:val="en-US" w:eastAsia="zh-CN"/>
          </w:rPr>
          <w:t>s</w:t>
        </w:r>
      </w:ins>
      <w:ins w:id="108" w:author="Author" w:date="2024-05-10T13:34:00Z">
        <w:r>
          <w:rPr>
            <w:lang w:val="en-US" w:eastAsia="zh-CN"/>
          </w:rPr>
          <w:t xml:space="preserve"> the status indication back to the MN. </w:t>
        </w:r>
      </w:ins>
      <w:ins w:id="109" w:author="Author" w:date="2025-05-07T20:14:00Z">
        <w:r>
          <w:rPr>
            <w:lang w:val="en-US"/>
          </w:rPr>
          <w:t>The SN may change the status and report the new status indication to the MN during the SN initiated SN Modification procedure.</w:t>
        </w:r>
      </w:ins>
    </w:p>
    <w:p w14:paraId="587FBF23">
      <w:pPr>
        <w:rPr>
          <w:ins w:id="110" w:author="Author" w:date="2024-05-10T13:34:00Z"/>
          <w:lang w:val="en-US" w:eastAsia="zh-CN"/>
        </w:rPr>
      </w:pPr>
      <w:ins w:id="111" w:author="Author" w:date="2024-05-10T13:34:00Z">
        <w:r>
          <w:rPr/>
          <w:t>For congestion reporting from gNB to UPF, d</w:t>
        </w:r>
      </w:ins>
      <w:ins w:id="112" w:author="Author" w:date="2024-05-10T13:34:00Z">
        <w:r>
          <w:rPr>
            <w:lang w:val="en-US" w:eastAsia="zh-CN"/>
          </w:rPr>
          <w:t xml:space="preserve">uring the Xn SN Addition Preparation procedure or MN initiated SN Modification Preparation procedure, the MN provides the </w:t>
        </w:r>
      </w:ins>
      <w:ins w:id="113" w:author="Author" w:date="2024-05-10T13:34:00Z">
        <w:r>
          <w:rPr/>
          <w:t xml:space="preserve">congestion information request </w:t>
        </w:r>
      </w:ins>
      <w:ins w:id="114" w:author="Author" w:date="2024-05-10T13:34:00Z">
        <w:r>
          <w:rPr>
            <w:lang w:val="en-US" w:eastAsia="zh-CN"/>
          </w:rPr>
          <w:t>to SN and SN report</w:t>
        </w:r>
      </w:ins>
      <w:ins w:id="115" w:author="Author" w:date="2024-05-10T13:34:00Z">
        <w:r>
          <w:rPr>
            <w:rFonts w:hint="eastAsia"/>
            <w:lang w:val="en-US" w:eastAsia="zh-CN"/>
          </w:rPr>
          <w:t>s</w:t>
        </w:r>
      </w:ins>
      <w:ins w:id="116" w:author="Author" w:date="2024-05-10T13:34:00Z">
        <w:r>
          <w:rPr>
            <w:lang w:val="en-US" w:eastAsia="zh-CN"/>
          </w:rPr>
          <w:t xml:space="preserve"> the status indication back to the MN. </w:t>
        </w:r>
      </w:ins>
      <w:ins w:id="117" w:author="Author" w:date="2025-05-07T20:14:00Z">
        <w:r>
          <w:rPr>
            <w:lang w:val="en-US"/>
          </w:rPr>
          <w:t>The SN may change the status and report the new status indication to the MN during the SN initiated SN Modification procedure.</w:t>
        </w:r>
      </w:ins>
    </w:p>
    <w:bookmarkEnd w:id="1"/>
    <w:p w14:paraId="37D485E5">
      <w:pPr>
        <w:overflowPunct w:val="0"/>
        <w:autoSpaceDE w:val="0"/>
        <w:autoSpaceDN w:val="0"/>
        <w:adjustRightInd w:val="0"/>
        <w:jc w:val="center"/>
        <w:textAlignment w:val="baseline"/>
        <w:rPr>
          <w:rFonts w:eastAsia="等线"/>
          <w:b/>
          <w:i/>
          <w:color w:val="FF0000"/>
          <w:sz w:val="21"/>
          <w:highlight w:val="yellow"/>
          <w:lang w:eastAsia="zh-CN"/>
        </w:rPr>
      </w:pPr>
    </w:p>
    <w:p w14:paraId="6F217669">
      <w:pPr>
        <w:overflowPunct w:val="0"/>
        <w:autoSpaceDE w:val="0"/>
        <w:autoSpaceDN w:val="0"/>
        <w:adjustRightInd w:val="0"/>
        <w:jc w:val="center"/>
        <w:textAlignment w:val="baseline"/>
        <w:rPr>
          <w:rFonts w:eastAsiaTheme="minorEastAsia"/>
        </w:rPr>
      </w:pPr>
      <w:bookmarkStart w:id="2" w:name="OLE_LINK1"/>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bookmarkEnd w:id="2"/>
    <w:p w14:paraId="71C87A46"/>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A588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C7E9A">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abstractNum w:abstractNumId="2">
    <w:nsid w:val="F8582528"/>
    <w:multiLevelType w:val="singleLevel"/>
    <w:tmpl w:val="F8582528"/>
    <w:lvl w:ilvl="0" w:tentative="0">
      <w:start w:val="1"/>
      <w:numFmt w:val="decimal"/>
      <w:suff w:val="space"/>
      <w:lvlText w:val="%1."/>
      <w:lvlJc w:val="left"/>
    </w:lvl>
  </w:abstractNum>
  <w:abstractNum w:abstractNumId="3">
    <w:nsid w:val="2008E08F"/>
    <w:multiLevelType w:val="singleLevel"/>
    <w:tmpl w:val="2008E08F"/>
    <w:lvl w:ilvl="0" w:tentative="0">
      <w:start w:val="1"/>
      <w:numFmt w:val="decimal"/>
      <w:suff w:val="space"/>
      <w:lvlText w:val="%1."/>
      <w:lvlJc w:val="left"/>
    </w:lvl>
  </w:abstractNum>
  <w:abstractNum w:abstractNumId="4">
    <w:nsid w:val="4F1A163D"/>
    <w:multiLevelType w:val="singleLevel"/>
    <w:tmpl w:val="4F1A163D"/>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66"/>
    <w:rsid w:val="00070E09"/>
    <w:rsid w:val="000A6394"/>
    <w:rsid w:val="000B7FED"/>
    <w:rsid w:val="000C038A"/>
    <w:rsid w:val="000C6598"/>
    <w:rsid w:val="000D44B3"/>
    <w:rsid w:val="00145D43"/>
    <w:rsid w:val="001840B9"/>
    <w:rsid w:val="00192C46"/>
    <w:rsid w:val="001A08B3"/>
    <w:rsid w:val="001A7B60"/>
    <w:rsid w:val="001B52F0"/>
    <w:rsid w:val="001B7A65"/>
    <w:rsid w:val="001C6026"/>
    <w:rsid w:val="001E2A18"/>
    <w:rsid w:val="001E41F3"/>
    <w:rsid w:val="0023316C"/>
    <w:rsid w:val="0026004D"/>
    <w:rsid w:val="00263949"/>
    <w:rsid w:val="002640DD"/>
    <w:rsid w:val="00275D12"/>
    <w:rsid w:val="00284FEB"/>
    <w:rsid w:val="002860C4"/>
    <w:rsid w:val="002B4EAF"/>
    <w:rsid w:val="002B5741"/>
    <w:rsid w:val="002E472E"/>
    <w:rsid w:val="00305409"/>
    <w:rsid w:val="003609EF"/>
    <w:rsid w:val="0036231A"/>
    <w:rsid w:val="00374DD4"/>
    <w:rsid w:val="003E1A36"/>
    <w:rsid w:val="003F2EA4"/>
    <w:rsid w:val="00410371"/>
    <w:rsid w:val="004242F1"/>
    <w:rsid w:val="00447A5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E492C"/>
    <w:rsid w:val="007F6061"/>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B2E"/>
    <w:rsid w:val="00A7671C"/>
    <w:rsid w:val="00AA2CBC"/>
    <w:rsid w:val="00AC5820"/>
    <w:rsid w:val="00AD1CD8"/>
    <w:rsid w:val="00B02E42"/>
    <w:rsid w:val="00B258BB"/>
    <w:rsid w:val="00B67B97"/>
    <w:rsid w:val="00B968C8"/>
    <w:rsid w:val="00BA3EC5"/>
    <w:rsid w:val="00BA51D9"/>
    <w:rsid w:val="00BB27F4"/>
    <w:rsid w:val="00BB5DFC"/>
    <w:rsid w:val="00BC6604"/>
    <w:rsid w:val="00BD279D"/>
    <w:rsid w:val="00BD6BB8"/>
    <w:rsid w:val="00BD793D"/>
    <w:rsid w:val="00C66BA2"/>
    <w:rsid w:val="00C870F6"/>
    <w:rsid w:val="00C95985"/>
    <w:rsid w:val="00CC5026"/>
    <w:rsid w:val="00CC68D0"/>
    <w:rsid w:val="00D03F9A"/>
    <w:rsid w:val="00D06D51"/>
    <w:rsid w:val="00D07730"/>
    <w:rsid w:val="00D24991"/>
    <w:rsid w:val="00D50255"/>
    <w:rsid w:val="00D66520"/>
    <w:rsid w:val="00D84AE9"/>
    <w:rsid w:val="00D9124E"/>
    <w:rsid w:val="00DE34CF"/>
    <w:rsid w:val="00DF5F3D"/>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9344289"/>
    <w:rsid w:val="09E53050"/>
    <w:rsid w:val="0A321BEE"/>
    <w:rsid w:val="0A886109"/>
    <w:rsid w:val="0B502256"/>
    <w:rsid w:val="0C4677A3"/>
    <w:rsid w:val="0D4C43A6"/>
    <w:rsid w:val="0F310BA1"/>
    <w:rsid w:val="0F7E05EC"/>
    <w:rsid w:val="0FA32629"/>
    <w:rsid w:val="10757E1C"/>
    <w:rsid w:val="10C37CF3"/>
    <w:rsid w:val="111D031F"/>
    <w:rsid w:val="13E779CB"/>
    <w:rsid w:val="14426A22"/>
    <w:rsid w:val="15172951"/>
    <w:rsid w:val="16252AB1"/>
    <w:rsid w:val="162D0960"/>
    <w:rsid w:val="16DE62F8"/>
    <w:rsid w:val="17CF652F"/>
    <w:rsid w:val="190602A0"/>
    <w:rsid w:val="1A7957FC"/>
    <w:rsid w:val="1B917CC5"/>
    <w:rsid w:val="1B9F1BA1"/>
    <w:rsid w:val="1BB85221"/>
    <w:rsid w:val="1C552593"/>
    <w:rsid w:val="1C9017A1"/>
    <w:rsid w:val="1CB9699E"/>
    <w:rsid w:val="1CD46E03"/>
    <w:rsid w:val="1D5F2DAD"/>
    <w:rsid w:val="1EEC0CF2"/>
    <w:rsid w:val="1F6E571A"/>
    <w:rsid w:val="1FC77DFC"/>
    <w:rsid w:val="1FE158BE"/>
    <w:rsid w:val="202D70EF"/>
    <w:rsid w:val="2098263A"/>
    <w:rsid w:val="20C04D3A"/>
    <w:rsid w:val="219678DF"/>
    <w:rsid w:val="22307BF5"/>
    <w:rsid w:val="225D0937"/>
    <w:rsid w:val="22D15836"/>
    <w:rsid w:val="23C241AB"/>
    <w:rsid w:val="244925E4"/>
    <w:rsid w:val="24C855CF"/>
    <w:rsid w:val="25C82807"/>
    <w:rsid w:val="27AD1749"/>
    <w:rsid w:val="28672001"/>
    <w:rsid w:val="28D01081"/>
    <w:rsid w:val="2A6317DF"/>
    <w:rsid w:val="2D1D03E2"/>
    <w:rsid w:val="2D9B3025"/>
    <w:rsid w:val="2E1E65DC"/>
    <w:rsid w:val="2F566222"/>
    <w:rsid w:val="2FAF69B4"/>
    <w:rsid w:val="300E337E"/>
    <w:rsid w:val="302E6CA4"/>
    <w:rsid w:val="320A496A"/>
    <w:rsid w:val="32A17A2B"/>
    <w:rsid w:val="33293929"/>
    <w:rsid w:val="34046282"/>
    <w:rsid w:val="342633BD"/>
    <w:rsid w:val="342E322C"/>
    <w:rsid w:val="356E4CBC"/>
    <w:rsid w:val="364F05CE"/>
    <w:rsid w:val="37241874"/>
    <w:rsid w:val="372C6C63"/>
    <w:rsid w:val="37D53672"/>
    <w:rsid w:val="38B22AB6"/>
    <w:rsid w:val="38C735B6"/>
    <w:rsid w:val="38E61821"/>
    <w:rsid w:val="39547B65"/>
    <w:rsid w:val="3A0E65F4"/>
    <w:rsid w:val="3B7239F7"/>
    <w:rsid w:val="3C4306AF"/>
    <w:rsid w:val="3C827153"/>
    <w:rsid w:val="3D8A09F3"/>
    <w:rsid w:val="3E392EA1"/>
    <w:rsid w:val="3F176AA7"/>
    <w:rsid w:val="40841C81"/>
    <w:rsid w:val="41590166"/>
    <w:rsid w:val="424A07E6"/>
    <w:rsid w:val="43142820"/>
    <w:rsid w:val="43B253D8"/>
    <w:rsid w:val="43C95FF3"/>
    <w:rsid w:val="45A40B96"/>
    <w:rsid w:val="485920FE"/>
    <w:rsid w:val="496E4981"/>
    <w:rsid w:val="49E54ABB"/>
    <w:rsid w:val="4A3D38D0"/>
    <w:rsid w:val="4B3B2431"/>
    <w:rsid w:val="4BC30240"/>
    <w:rsid w:val="4C1C25E2"/>
    <w:rsid w:val="4D295FF0"/>
    <w:rsid w:val="4E0C3054"/>
    <w:rsid w:val="503E664D"/>
    <w:rsid w:val="519C0861"/>
    <w:rsid w:val="53184F13"/>
    <w:rsid w:val="53756EE2"/>
    <w:rsid w:val="5428055A"/>
    <w:rsid w:val="55522BC9"/>
    <w:rsid w:val="557051C5"/>
    <w:rsid w:val="5590684A"/>
    <w:rsid w:val="55BB2DE0"/>
    <w:rsid w:val="55D502AB"/>
    <w:rsid w:val="56432BF2"/>
    <w:rsid w:val="57BE104D"/>
    <w:rsid w:val="57C46B72"/>
    <w:rsid w:val="584621D6"/>
    <w:rsid w:val="58E1314F"/>
    <w:rsid w:val="58F30230"/>
    <w:rsid w:val="5A245C6D"/>
    <w:rsid w:val="5AFB3574"/>
    <w:rsid w:val="5B1304B7"/>
    <w:rsid w:val="5CF42497"/>
    <w:rsid w:val="5EFB427C"/>
    <w:rsid w:val="5FBB74EE"/>
    <w:rsid w:val="60E44BA7"/>
    <w:rsid w:val="61132E80"/>
    <w:rsid w:val="61604793"/>
    <w:rsid w:val="61AA1736"/>
    <w:rsid w:val="61DC0BFE"/>
    <w:rsid w:val="62BF53A7"/>
    <w:rsid w:val="63A049A3"/>
    <w:rsid w:val="63CC154B"/>
    <w:rsid w:val="66C553B4"/>
    <w:rsid w:val="68F54F0E"/>
    <w:rsid w:val="6A2C1A34"/>
    <w:rsid w:val="6B896FFA"/>
    <w:rsid w:val="6C5A53BE"/>
    <w:rsid w:val="6D1F67DB"/>
    <w:rsid w:val="6D2F2C11"/>
    <w:rsid w:val="6E3F18B9"/>
    <w:rsid w:val="6ED82F23"/>
    <w:rsid w:val="6EED52E0"/>
    <w:rsid w:val="70204E28"/>
    <w:rsid w:val="717326F5"/>
    <w:rsid w:val="71955C92"/>
    <w:rsid w:val="71A467B7"/>
    <w:rsid w:val="71BB69D0"/>
    <w:rsid w:val="71E6173D"/>
    <w:rsid w:val="72601EC3"/>
    <w:rsid w:val="727816A3"/>
    <w:rsid w:val="729D1A86"/>
    <w:rsid w:val="72DF20AA"/>
    <w:rsid w:val="73DD05F2"/>
    <w:rsid w:val="73E379C8"/>
    <w:rsid w:val="73EF0FCD"/>
    <w:rsid w:val="742E5FB0"/>
    <w:rsid w:val="76333A94"/>
    <w:rsid w:val="77A62A98"/>
    <w:rsid w:val="790A55E3"/>
    <w:rsid w:val="7B395F25"/>
    <w:rsid w:val="7CDD10C6"/>
    <w:rsid w:val="7D141BBF"/>
    <w:rsid w:val="7E331433"/>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1"/>
    <w:hidden/>
    <w:unhideWhenUsed/>
    <w:qFormat/>
    <w:uiPriority w:val="99"/>
    <w:rPr>
      <w:rFonts w:ascii="Times New Roman" w:hAnsi="Times New Roman" w:eastAsia="宋体" w:cs="Times New Roman"/>
      <w:lang w:val="en-GB" w:eastAsia="en-US" w:bidi="ar-SA"/>
    </w:rPr>
  </w:style>
  <w:style w:type="character" w:customStyle="1" w:styleId="84">
    <w:name w:val="Comment Text Char"/>
    <w:basedOn w:val="43"/>
    <w:link w:val="29"/>
    <w:semiHidden/>
    <w:qFormat/>
    <w:uiPriority w:val="0"/>
    <w:rPr>
      <w:rFonts w:ascii="Times New Roman" w:hAnsi="Times New Roman"/>
      <w:lang w:val="en-GB" w:eastAsia="en-US"/>
    </w:rPr>
  </w:style>
  <w:style w:type="paragraph" w:customStyle="1" w:styleId="85">
    <w:name w:val="Revision2"/>
    <w:hidden/>
    <w:unhideWhenUsed/>
    <w:qFormat/>
    <w:uiPriority w:val="99"/>
    <w:rPr>
      <w:rFonts w:ascii="Times New Roman" w:hAnsi="Times New Roman" w:eastAsia="宋体" w:cs="Times New Roman"/>
      <w:lang w:val="en-GB" w:eastAsia="en-US" w:bidi="ar-SA"/>
    </w:rPr>
  </w:style>
  <w:style w:type="paragraph" w:customStyle="1" w:styleId="86">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1053</Words>
  <Characters>6007</Characters>
  <Lines>50</Lines>
  <Paragraphs>14</Paragraphs>
  <TotalTime>1</TotalTime>
  <ScaleCrop>false</ScaleCrop>
  <LinksUpToDate>false</LinksUpToDate>
  <CharactersWithSpaces>7046</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2025-05-29T14:54:00Z</dcterms:created>
  <dc:creator>Michael Sanders, John M Meredith</dc:creator>
  <cp:lastModifiedBy>author</cp:lastModifiedBy>
  <cp:lastPrinted>2411-12-31T15:59:00Z</cp:lastPrinted>
  <dcterms:modified xsi:type="dcterms:W3CDTF">2025-06-06T01:30:20Z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0FAA94C703044A4384006301781686FE_13</vt:lpwstr>
  </property>
</Properties>
</file>